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E562F" w14:textId="003D4576" w:rsidR="00326AAA" w:rsidRPr="00BD61F1" w:rsidRDefault="00326AAA" w:rsidP="00326AAA">
      <w:pPr>
        <w:pStyle w:val="Title"/>
        <w:spacing w:line="360" w:lineRule="auto"/>
        <w:ind w:left="0"/>
        <w:rPr>
          <w:rFonts w:ascii="Times New Roman" w:hAnsi="Times New Roman" w:cs="Times New Roman"/>
          <w:sz w:val="22"/>
          <w:szCs w:val="22"/>
        </w:rPr>
      </w:pPr>
      <w:r w:rsidRPr="00BD61F1">
        <w:rPr>
          <w:rFonts w:ascii="Times New Roman" w:hAnsi="Times New Roman" w:cs="Times New Roman"/>
          <w:noProof/>
          <w:sz w:val="22"/>
          <w:szCs w:val="22"/>
        </w:rPr>
        <w:drawing>
          <wp:inline distT="0" distB="0" distL="0" distR="0" wp14:anchorId="499E610F" wp14:editId="5BFE6832">
            <wp:extent cx="1226820" cy="1226820"/>
            <wp:effectExtent l="0" t="0" r="0" b="0"/>
            <wp:docPr id="3" name="Picture 3" descr="ISEG - Lisbon School of Economics &amp; Management | Lis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EG - Lisbon School of Economics &amp; Management | Lisb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6820" cy="1226820"/>
                    </a:xfrm>
                    <a:prstGeom prst="rect">
                      <a:avLst/>
                    </a:prstGeom>
                    <a:noFill/>
                    <a:ln>
                      <a:noFill/>
                    </a:ln>
                  </pic:spPr>
                </pic:pic>
              </a:graphicData>
            </a:graphic>
          </wp:inline>
        </w:drawing>
      </w:r>
    </w:p>
    <w:p w14:paraId="67A237A1" w14:textId="1000FCC9" w:rsidR="001B0211" w:rsidRPr="00BD61F1" w:rsidRDefault="00326AAA" w:rsidP="00BD61F1">
      <w:pPr>
        <w:pStyle w:val="Title"/>
        <w:spacing w:line="360" w:lineRule="auto"/>
        <w:ind w:left="0"/>
        <w:rPr>
          <w:rFonts w:ascii="Times New Roman" w:hAnsi="Times New Roman" w:cs="Times New Roman"/>
          <w:sz w:val="22"/>
          <w:szCs w:val="22"/>
        </w:rPr>
      </w:pPr>
      <w:r w:rsidRPr="00BD61F1">
        <w:rPr>
          <w:rFonts w:ascii="Times New Roman" w:hAnsi="Times New Roman" w:cs="Times New Roman"/>
          <w:b w:val="0"/>
          <w:bCs w:val="0"/>
          <w:sz w:val="22"/>
          <w:szCs w:val="22"/>
        </w:rPr>
        <w:t>E</w:t>
      </w:r>
      <w:r w:rsidR="00337CE3" w:rsidRPr="00BD61F1">
        <w:rPr>
          <w:rFonts w:ascii="Times New Roman" w:hAnsi="Times New Roman" w:cs="Times New Roman"/>
          <w:sz w:val="22"/>
          <w:szCs w:val="22"/>
        </w:rPr>
        <w:t>xame</w:t>
      </w:r>
      <w:r w:rsidR="00337CE3" w:rsidRPr="00BD61F1">
        <w:rPr>
          <w:rFonts w:ascii="Times New Roman" w:hAnsi="Times New Roman" w:cs="Times New Roman"/>
          <w:spacing w:val="-6"/>
          <w:sz w:val="22"/>
          <w:szCs w:val="22"/>
        </w:rPr>
        <w:t xml:space="preserve"> </w:t>
      </w:r>
      <w:r w:rsidR="00337CE3" w:rsidRPr="00BD61F1">
        <w:rPr>
          <w:rFonts w:ascii="Times New Roman" w:hAnsi="Times New Roman" w:cs="Times New Roman"/>
          <w:sz w:val="22"/>
          <w:szCs w:val="22"/>
        </w:rPr>
        <w:t>de</w:t>
      </w:r>
      <w:r w:rsidR="00337CE3" w:rsidRPr="00BD61F1">
        <w:rPr>
          <w:rFonts w:ascii="Times New Roman" w:hAnsi="Times New Roman" w:cs="Times New Roman"/>
          <w:spacing w:val="-3"/>
          <w:sz w:val="22"/>
          <w:szCs w:val="22"/>
        </w:rPr>
        <w:t xml:space="preserve"> </w:t>
      </w:r>
      <w:r w:rsidR="00337CE3" w:rsidRPr="00BD61F1">
        <w:rPr>
          <w:rFonts w:ascii="Times New Roman" w:hAnsi="Times New Roman" w:cs="Times New Roman"/>
          <w:sz w:val="22"/>
          <w:szCs w:val="22"/>
        </w:rPr>
        <w:t>época</w:t>
      </w:r>
      <w:r w:rsidR="00337CE3" w:rsidRPr="00BD61F1">
        <w:rPr>
          <w:rFonts w:ascii="Times New Roman" w:hAnsi="Times New Roman" w:cs="Times New Roman"/>
          <w:spacing w:val="-3"/>
          <w:sz w:val="22"/>
          <w:szCs w:val="22"/>
        </w:rPr>
        <w:t xml:space="preserve"> </w:t>
      </w:r>
      <w:r>
        <w:rPr>
          <w:rFonts w:ascii="Times New Roman" w:hAnsi="Times New Roman" w:cs="Times New Roman"/>
          <w:sz w:val="22"/>
          <w:szCs w:val="22"/>
        </w:rPr>
        <w:t>especial</w:t>
      </w:r>
      <w:r w:rsidRPr="00BD61F1">
        <w:rPr>
          <w:rFonts w:ascii="Times New Roman" w:hAnsi="Times New Roman" w:cs="Times New Roman"/>
          <w:sz w:val="22"/>
          <w:szCs w:val="22"/>
        </w:rPr>
        <w:t xml:space="preserve"> </w:t>
      </w:r>
      <w:r w:rsidR="00337CE3" w:rsidRPr="00BD61F1">
        <w:rPr>
          <w:rFonts w:ascii="Times New Roman" w:hAnsi="Times New Roman" w:cs="Times New Roman"/>
          <w:sz w:val="22"/>
          <w:szCs w:val="22"/>
        </w:rPr>
        <w:t>de</w:t>
      </w:r>
      <w:r w:rsidR="00337CE3" w:rsidRPr="00BD61F1">
        <w:rPr>
          <w:rFonts w:ascii="Times New Roman" w:hAnsi="Times New Roman" w:cs="Times New Roman"/>
          <w:spacing w:val="-4"/>
          <w:sz w:val="22"/>
          <w:szCs w:val="22"/>
        </w:rPr>
        <w:t xml:space="preserve"> </w:t>
      </w:r>
      <w:r w:rsidR="00337CE3" w:rsidRPr="00BD61F1">
        <w:rPr>
          <w:rFonts w:ascii="Times New Roman" w:hAnsi="Times New Roman" w:cs="Times New Roman"/>
          <w:sz w:val="22"/>
          <w:szCs w:val="22"/>
        </w:rPr>
        <w:t>Política</w:t>
      </w:r>
      <w:r w:rsidR="00337CE3" w:rsidRPr="00BD61F1">
        <w:rPr>
          <w:rFonts w:ascii="Times New Roman" w:hAnsi="Times New Roman" w:cs="Times New Roman"/>
          <w:spacing w:val="-4"/>
          <w:sz w:val="22"/>
          <w:szCs w:val="22"/>
        </w:rPr>
        <w:t xml:space="preserve"> </w:t>
      </w:r>
      <w:r w:rsidR="00337CE3" w:rsidRPr="00BD61F1">
        <w:rPr>
          <w:rFonts w:ascii="Times New Roman" w:hAnsi="Times New Roman" w:cs="Times New Roman"/>
          <w:sz w:val="22"/>
          <w:szCs w:val="22"/>
        </w:rPr>
        <w:t>Económica</w:t>
      </w:r>
      <w:r w:rsidR="00337CE3" w:rsidRPr="00BD61F1">
        <w:rPr>
          <w:rFonts w:ascii="Times New Roman" w:hAnsi="Times New Roman" w:cs="Times New Roman"/>
          <w:spacing w:val="-3"/>
          <w:sz w:val="22"/>
          <w:szCs w:val="22"/>
        </w:rPr>
        <w:t xml:space="preserve"> </w:t>
      </w:r>
      <w:r w:rsidR="00337CE3" w:rsidRPr="00BD61F1">
        <w:rPr>
          <w:rFonts w:ascii="Times New Roman" w:hAnsi="Times New Roman" w:cs="Times New Roman"/>
          <w:sz w:val="22"/>
          <w:szCs w:val="22"/>
        </w:rPr>
        <w:t>-</w:t>
      </w:r>
      <w:r w:rsidR="00337CE3" w:rsidRPr="00BD61F1">
        <w:rPr>
          <w:rFonts w:ascii="Times New Roman" w:hAnsi="Times New Roman" w:cs="Times New Roman"/>
          <w:spacing w:val="-3"/>
          <w:sz w:val="22"/>
          <w:szCs w:val="22"/>
        </w:rPr>
        <w:t xml:space="preserve"> </w:t>
      </w:r>
      <w:r w:rsidR="00337CE3" w:rsidRPr="00BD61F1">
        <w:rPr>
          <w:rFonts w:ascii="Times New Roman" w:hAnsi="Times New Roman" w:cs="Times New Roman"/>
          <w:spacing w:val="-2"/>
          <w:sz w:val="22"/>
          <w:szCs w:val="22"/>
        </w:rPr>
        <w:t>202</w:t>
      </w:r>
      <w:r w:rsidR="00E10EA9" w:rsidRPr="00BD61F1">
        <w:rPr>
          <w:rFonts w:ascii="Times New Roman" w:hAnsi="Times New Roman" w:cs="Times New Roman"/>
          <w:spacing w:val="-2"/>
          <w:sz w:val="22"/>
          <w:szCs w:val="22"/>
        </w:rPr>
        <w:t>5</w:t>
      </w:r>
      <w:r w:rsidR="00337CE3" w:rsidRPr="00BD61F1">
        <w:rPr>
          <w:rFonts w:ascii="Times New Roman" w:hAnsi="Times New Roman" w:cs="Times New Roman"/>
          <w:spacing w:val="-2"/>
          <w:sz w:val="22"/>
          <w:szCs w:val="22"/>
        </w:rPr>
        <w:t>/202</w:t>
      </w:r>
      <w:r w:rsidR="00E10EA9" w:rsidRPr="00BD61F1">
        <w:rPr>
          <w:rFonts w:ascii="Times New Roman" w:hAnsi="Times New Roman" w:cs="Times New Roman"/>
          <w:spacing w:val="-2"/>
          <w:sz w:val="22"/>
          <w:szCs w:val="22"/>
        </w:rPr>
        <w:t>6</w:t>
      </w:r>
    </w:p>
    <w:p w14:paraId="553CFD0B" w14:textId="77777777" w:rsidR="001B0211" w:rsidRPr="00BD61F1" w:rsidRDefault="00337CE3" w:rsidP="00BD61F1">
      <w:pPr>
        <w:pStyle w:val="Heading1"/>
        <w:spacing w:before="294" w:line="360" w:lineRule="auto"/>
        <w:ind w:left="0" w:right="42"/>
        <w:jc w:val="center"/>
        <w:rPr>
          <w:rFonts w:ascii="Times New Roman" w:hAnsi="Times New Roman" w:cs="Times New Roman"/>
          <w:sz w:val="22"/>
          <w:szCs w:val="22"/>
        </w:rPr>
      </w:pPr>
      <w:r w:rsidRPr="00BD61F1">
        <w:rPr>
          <w:rFonts w:ascii="Times New Roman" w:hAnsi="Times New Roman" w:cs="Times New Roman"/>
          <w:sz w:val="22"/>
          <w:szCs w:val="22"/>
        </w:rPr>
        <w:t>MESTRADO</w:t>
      </w:r>
      <w:r w:rsidRPr="00BD61F1">
        <w:rPr>
          <w:rFonts w:ascii="Times New Roman" w:hAnsi="Times New Roman" w:cs="Times New Roman"/>
          <w:spacing w:val="-3"/>
          <w:sz w:val="22"/>
          <w:szCs w:val="22"/>
        </w:rPr>
        <w:t xml:space="preserve"> </w:t>
      </w:r>
      <w:r w:rsidRPr="00BD61F1">
        <w:rPr>
          <w:rFonts w:ascii="Times New Roman" w:hAnsi="Times New Roman" w:cs="Times New Roman"/>
          <w:sz w:val="22"/>
          <w:szCs w:val="22"/>
        </w:rPr>
        <w:t>EM</w:t>
      </w:r>
      <w:r w:rsidRPr="00BD61F1">
        <w:rPr>
          <w:rFonts w:ascii="Times New Roman" w:hAnsi="Times New Roman" w:cs="Times New Roman"/>
          <w:spacing w:val="-5"/>
          <w:sz w:val="22"/>
          <w:szCs w:val="22"/>
        </w:rPr>
        <w:t xml:space="preserve"> </w:t>
      </w:r>
      <w:r w:rsidRPr="00BD61F1">
        <w:rPr>
          <w:rFonts w:ascii="Times New Roman" w:hAnsi="Times New Roman" w:cs="Times New Roman"/>
          <w:sz w:val="22"/>
          <w:szCs w:val="22"/>
        </w:rPr>
        <w:t>ECONOMIA</w:t>
      </w:r>
      <w:r w:rsidRPr="00BD61F1">
        <w:rPr>
          <w:rFonts w:ascii="Times New Roman" w:hAnsi="Times New Roman" w:cs="Times New Roman"/>
          <w:spacing w:val="-2"/>
          <w:sz w:val="22"/>
          <w:szCs w:val="22"/>
        </w:rPr>
        <w:t xml:space="preserve"> </w:t>
      </w:r>
      <w:r w:rsidRPr="00BD61F1">
        <w:rPr>
          <w:rFonts w:ascii="Times New Roman" w:hAnsi="Times New Roman" w:cs="Times New Roman"/>
          <w:sz w:val="22"/>
          <w:szCs w:val="22"/>
        </w:rPr>
        <w:t>E</w:t>
      </w:r>
      <w:r w:rsidRPr="00BD61F1">
        <w:rPr>
          <w:rFonts w:ascii="Times New Roman" w:hAnsi="Times New Roman" w:cs="Times New Roman"/>
          <w:spacing w:val="-3"/>
          <w:sz w:val="22"/>
          <w:szCs w:val="22"/>
        </w:rPr>
        <w:t xml:space="preserve"> </w:t>
      </w:r>
      <w:r w:rsidRPr="00BD61F1">
        <w:rPr>
          <w:rFonts w:ascii="Times New Roman" w:hAnsi="Times New Roman" w:cs="Times New Roman"/>
          <w:sz w:val="22"/>
          <w:szCs w:val="22"/>
        </w:rPr>
        <w:t>POLÍTICAS</w:t>
      </w:r>
      <w:r w:rsidRPr="00BD61F1">
        <w:rPr>
          <w:rFonts w:ascii="Times New Roman" w:hAnsi="Times New Roman" w:cs="Times New Roman"/>
          <w:spacing w:val="-3"/>
          <w:sz w:val="22"/>
          <w:szCs w:val="22"/>
        </w:rPr>
        <w:t xml:space="preserve"> </w:t>
      </w:r>
      <w:r w:rsidRPr="00BD61F1">
        <w:rPr>
          <w:rFonts w:ascii="Times New Roman" w:hAnsi="Times New Roman" w:cs="Times New Roman"/>
          <w:spacing w:val="-2"/>
          <w:sz w:val="22"/>
          <w:szCs w:val="22"/>
        </w:rPr>
        <w:t>PÚBLICAS</w:t>
      </w:r>
    </w:p>
    <w:p w14:paraId="1FC47BDF" w14:textId="77777777" w:rsidR="001B0211" w:rsidRPr="00BD61F1" w:rsidRDefault="001B0211" w:rsidP="00BD61F1">
      <w:pPr>
        <w:pStyle w:val="BodyText"/>
        <w:spacing w:before="247" w:line="360" w:lineRule="auto"/>
        <w:jc w:val="center"/>
        <w:rPr>
          <w:rFonts w:ascii="Times New Roman" w:hAnsi="Times New Roman" w:cs="Times New Roman"/>
          <w:b/>
          <w:sz w:val="22"/>
          <w:szCs w:val="22"/>
        </w:rPr>
      </w:pPr>
    </w:p>
    <w:p w14:paraId="4FD0CA91" w14:textId="444C11C9" w:rsidR="001B0211" w:rsidRPr="00BD61F1" w:rsidRDefault="0030086C" w:rsidP="00BD61F1">
      <w:pPr>
        <w:pStyle w:val="BodyText"/>
        <w:spacing w:line="360" w:lineRule="auto"/>
        <w:ind w:left="3920" w:right="3963"/>
        <w:jc w:val="center"/>
        <w:rPr>
          <w:rFonts w:ascii="Times New Roman" w:hAnsi="Times New Roman" w:cs="Times New Roman"/>
          <w:sz w:val="22"/>
          <w:szCs w:val="22"/>
        </w:rPr>
      </w:pPr>
      <w:r w:rsidRPr="00BD61F1">
        <w:rPr>
          <w:rFonts w:ascii="Times New Roman" w:hAnsi="Times New Roman" w:cs="Times New Roman"/>
          <w:sz w:val="22"/>
          <w:szCs w:val="22"/>
        </w:rPr>
        <w:t>2 de julho de 2026</w:t>
      </w:r>
    </w:p>
    <w:p w14:paraId="565D3670" w14:textId="369DE83C" w:rsidR="00E10EA9" w:rsidRPr="00BD61F1" w:rsidRDefault="00E10EA9" w:rsidP="00BD61F1">
      <w:pPr>
        <w:pStyle w:val="BodyText"/>
        <w:spacing w:line="360" w:lineRule="auto"/>
        <w:ind w:left="3920" w:right="3963"/>
        <w:jc w:val="center"/>
        <w:rPr>
          <w:rFonts w:ascii="Times New Roman" w:hAnsi="Times New Roman" w:cs="Times New Roman"/>
          <w:sz w:val="22"/>
          <w:szCs w:val="22"/>
        </w:rPr>
      </w:pPr>
      <w:r w:rsidRPr="00BD61F1">
        <w:rPr>
          <w:rFonts w:ascii="Times New Roman" w:hAnsi="Times New Roman" w:cs="Times New Roman"/>
          <w:sz w:val="22"/>
          <w:szCs w:val="22"/>
        </w:rPr>
        <w:t>João Alcobia</w:t>
      </w:r>
    </w:p>
    <w:p w14:paraId="17F7EB21" w14:textId="262EAF85" w:rsidR="001B0211" w:rsidRPr="00BD61F1" w:rsidRDefault="00E10EA9" w:rsidP="00BD61F1">
      <w:pPr>
        <w:spacing w:before="244" w:line="360" w:lineRule="auto"/>
        <w:ind w:right="42"/>
        <w:jc w:val="center"/>
        <w:rPr>
          <w:rFonts w:ascii="Times New Roman" w:hAnsi="Times New Roman" w:cs="Times New Roman"/>
          <w:b/>
        </w:rPr>
      </w:pPr>
      <w:r w:rsidRPr="00BD61F1">
        <w:rPr>
          <w:rFonts w:ascii="Times New Roman" w:hAnsi="Times New Roman" w:cs="Times New Roman"/>
          <w:b/>
        </w:rPr>
        <w:t>Sem</w:t>
      </w:r>
      <w:r w:rsidR="00337CE3" w:rsidRPr="00BD61F1">
        <w:rPr>
          <w:rFonts w:ascii="Times New Roman" w:hAnsi="Times New Roman" w:cs="Times New Roman"/>
          <w:b/>
          <w:spacing w:val="-4"/>
        </w:rPr>
        <w:t xml:space="preserve"> </w:t>
      </w:r>
      <w:r w:rsidR="00337CE3" w:rsidRPr="00BD61F1">
        <w:rPr>
          <w:rFonts w:ascii="Times New Roman" w:hAnsi="Times New Roman" w:cs="Times New Roman"/>
          <w:b/>
        </w:rPr>
        <w:t>consulta.</w:t>
      </w:r>
      <w:r w:rsidR="00337CE3" w:rsidRPr="00BD61F1">
        <w:rPr>
          <w:rFonts w:ascii="Times New Roman" w:hAnsi="Times New Roman" w:cs="Times New Roman"/>
          <w:b/>
          <w:spacing w:val="-4"/>
        </w:rPr>
        <w:t xml:space="preserve"> </w:t>
      </w:r>
      <w:r w:rsidR="00337CE3" w:rsidRPr="00BD61F1">
        <w:rPr>
          <w:rFonts w:ascii="Times New Roman" w:hAnsi="Times New Roman" w:cs="Times New Roman"/>
          <w:b/>
        </w:rPr>
        <w:t>Duração</w:t>
      </w:r>
      <w:r w:rsidR="00337CE3" w:rsidRPr="00BD61F1">
        <w:rPr>
          <w:rFonts w:ascii="Times New Roman" w:hAnsi="Times New Roman" w:cs="Times New Roman"/>
          <w:b/>
          <w:spacing w:val="-5"/>
        </w:rPr>
        <w:t xml:space="preserve"> </w:t>
      </w:r>
      <w:r w:rsidR="00337CE3" w:rsidRPr="00BD61F1">
        <w:rPr>
          <w:rFonts w:ascii="Times New Roman" w:hAnsi="Times New Roman" w:cs="Times New Roman"/>
          <w:b/>
        </w:rPr>
        <w:t>2</w:t>
      </w:r>
      <w:r w:rsidR="00337CE3" w:rsidRPr="00BD61F1">
        <w:rPr>
          <w:rFonts w:ascii="Times New Roman" w:hAnsi="Times New Roman" w:cs="Times New Roman"/>
          <w:b/>
          <w:spacing w:val="-5"/>
        </w:rPr>
        <w:t xml:space="preserve"> </w:t>
      </w:r>
      <w:r w:rsidR="00337CE3" w:rsidRPr="00BD61F1">
        <w:rPr>
          <w:rFonts w:ascii="Times New Roman" w:hAnsi="Times New Roman" w:cs="Times New Roman"/>
          <w:b/>
        </w:rPr>
        <w:t>horas.</w:t>
      </w:r>
      <w:r w:rsidR="00337CE3" w:rsidRPr="00BD61F1">
        <w:rPr>
          <w:rFonts w:ascii="Times New Roman" w:hAnsi="Times New Roman" w:cs="Times New Roman"/>
          <w:b/>
          <w:spacing w:val="-6"/>
        </w:rPr>
        <w:t xml:space="preserve"> </w:t>
      </w:r>
      <w:r w:rsidR="00337CE3" w:rsidRPr="00BD61F1">
        <w:rPr>
          <w:rFonts w:ascii="Times New Roman" w:hAnsi="Times New Roman" w:cs="Times New Roman"/>
          <w:b/>
        </w:rPr>
        <w:t>Bom</w:t>
      </w:r>
      <w:r w:rsidR="00337CE3" w:rsidRPr="00BD61F1">
        <w:rPr>
          <w:rFonts w:ascii="Times New Roman" w:hAnsi="Times New Roman" w:cs="Times New Roman"/>
          <w:b/>
          <w:spacing w:val="-5"/>
        </w:rPr>
        <w:t xml:space="preserve"> </w:t>
      </w:r>
      <w:r w:rsidR="00337CE3" w:rsidRPr="00BD61F1">
        <w:rPr>
          <w:rFonts w:ascii="Times New Roman" w:hAnsi="Times New Roman" w:cs="Times New Roman"/>
          <w:b/>
          <w:spacing w:val="-2"/>
        </w:rPr>
        <w:t>trabalho!</w:t>
      </w:r>
    </w:p>
    <w:p w14:paraId="1D040B49" w14:textId="77777777" w:rsidR="001B0211" w:rsidRPr="00BD61F1" w:rsidRDefault="001B0211" w:rsidP="00BD61F1">
      <w:pPr>
        <w:pStyle w:val="BodyText"/>
        <w:spacing w:before="241" w:line="360" w:lineRule="auto"/>
        <w:jc w:val="both"/>
        <w:rPr>
          <w:rFonts w:ascii="Times New Roman" w:hAnsi="Times New Roman" w:cs="Times New Roman"/>
          <w:b/>
          <w:sz w:val="22"/>
          <w:szCs w:val="22"/>
        </w:rPr>
      </w:pPr>
    </w:p>
    <w:p w14:paraId="3F31AF22" w14:textId="1BED7119" w:rsidR="001B0211" w:rsidRPr="00BD61F1" w:rsidRDefault="00337CE3" w:rsidP="00BD61F1">
      <w:pPr>
        <w:pStyle w:val="Heading1"/>
        <w:spacing w:before="0" w:line="360" w:lineRule="auto"/>
        <w:jc w:val="both"/>
        <w:rPr>
          <w:rFonts w:ascii="Times New Roman" w:hAnsi="Times New Roman" w:cs="Times New Roman"/>
          <w:sz w:val="22"/>
          <w:szCs w:val="22"/>
        </w:rPr>
      </w:pPr>
      <w:r w:rsidRPr="00BD61F1">
        <w:rPr>
          <w:rFonts w:ascii="Times New Roman" w:hAnsi="Times New Roman" w:cs="Times New Roman"/>
          <w:sz w:val="22"/>
          <w:szCs w:val="22"/>
        </w:rPr>
        <w:t>[</w:t>
      </w:r>
      <w:r w:rsidR="00E10EA9" w:rsidRPr="00BD61F1">
        <w:rPr>
          <w:rFonts w:ascii="Times New Roman" w:hAnsi="Times New Roman" w:cs="Times New Roman"/>
          <w:sz w:val="22"/>
          <w:szCs w:val="22"/>
        </w:rPr>
        <w:t>5</w:t>
      </w:r>
      <w:r w:rsidRPr="00BD61F1">
        <w:rPr>
          <w:rFonts w:ascii="Times New Roman" w:hAnsi="Times New Roman" w:cs="Times New Roman"/>
          <w:sz w:val="22"/>
          <w:szCs w:val="22"/>
        </w:rPr>
        <w:t>,</w:t>
      </w:r>
      <w:r w:rsidR="00E10EA9" w:rsidRPr="00BD61F1">
        <w:rPr>
          <w:rFonts w:ascii="Times New Roman" w:hAnsi="Times New Roman" w:cs="Times New Roman"/>
          <w:sz w:val="22"/>
          <w:szCs w:val="22"/>
        </w:rPr>
        <w:t>0</w:t>
      </w:r>
      <w:r w:rsidRPr="00BD61F1">
        <w:rPr>
          <w:rFonts w:ascii="Times New Roman" w:hAnsi="Times New Roman" w:cs="Times New Roman"/>
          <w:spacing w:val="-2"/>
          <w:sz w:val="22"/>
          <w:szCs w:val="22"/>
        </w:rPr>
        <w:t xml:space="preserve"> </w:t>
      </w:r>
      <w:r w:rsidRPr="00BD61F1">
        <w:rPr>
          <w:rFonts w:ascii="Times New Roman" w:hAnsi="Times New Roman" w:cs="Times New Roman"/>
          <w:sz w:val="22"/>
          <w:szCs w:val="22"/>
        </w:rPr>
        <w:t>val]</w:t>
      </w:r>
      <w:r w:rsidRPr="00BD61F1">
        <w:rPr>
          <w:rFonts w:ascii="Times New Roman" w:hAnsi="Times New Roman" w:cs="Times New Roman"/>
          <w:spacing w:val="-1"/>
          <w:sz w:val="22"/>
          <w:szCs w:val="22"/>
        </w:rPr>
        <w:t xml:space="preserve"> </w:t>
      </w:r>
      <w:r w:rsidRPr="00BD61F1">
        <w:rPr>
          <w:rFonts w:ascii="Times New Roman" w:hAnsi="Times New Roman" w:cs="Times New Roman"/>
          <w:sz w:val="22"/>
          <w:szCs w:val="22"/>
        </w:rPr>
        <w:t>I.</w:t>
      </w:r>
      <w:r w:rsidRPr="00BD61F1">
        <w:rPr>
          <w:rFonts w:ascii="Times New Roman" w:hAnsi="Times New Roman" w:cs="Times New Roman"/>
          <w:spacing w:val="-1"/>
          <w:sz w:val="22"/>
          <w:szCs w:val="22"/>
        </w:rPr>
        <w:t xml:space="preserve"> </w:t>
      </w:r>
      <w:r w:rsidR="00E10EA9" w:rsidRPr="00BD61F1">
        <w:rPr>
          <w:rFonts w:ascii="Times New Roman" w:hAnsi="Times New Roman" w:cs="Times New Roman"/>
          <w:sz w:val="22"/>
          <w:szCs w:val="22"/>
        </w:rPr>
        <w:t>Escolhas múltiplas</w:t>
      </w:r>
    </w:p>
    <w:p w14:paraId="78F3CC5F" w14:textId="06FBE8B0" w:rsidR="001B0211" w:rsidRPr="00BD61F1" w:rsidRDefault="001B0211" w:rsidP="00BD61F1">
      <w:pPr>
        <w:pStyle w:val="BodyText"/>
        <w:spacing w:line="360" w:lineRule="auto"/>
        <w:jc w:val="both"/>
        <w:rPr>
          <w:rFonts w:ascii="Times New Roman" w:hAnsi="Times New Roman" w:cs="Times New Roman"/>
          <w:b/>
          <w:sz w:val="22"/>
          <w:szCs w:val="22"/>
        </w:rPr>
      </w:pPr>
    </w:p>
    <w:p w14:paraId="3BF46381" w14:textId="05B0DDDA" w:rsidR="001B0211" w:rsidRPr="00BD61F1" w:rsidRDefault="00C42DDA" w:rsidP="00BD61F1">
      <w:pPr>
        <w:pStyle w:val="BodyText"/>
        <w:spacing w:before="21" w:line="360" w:lineRule="auto"/>
        <w:jc w:val="both"/>
        <w:rPr>
          <w:rFonts w:ascii="Times New Roman" w:hAnsi="Times New Roman" w:cs="Times New Roman"/>
          <w:bCs/>
          <w:sz w:val="22"/>
          <w:szCs w:val="22"/>
        </w:rPr>
      </w:pPr>
      <w:r w:rsidRPr="00BD61F1">
        <w:rPr>
          <w:rFonts w:ascii="Times New Roman" w:hAnsi="Times New Roman" w:cs="Times New Roman"/>
          <w:bCs/>
          <w:sz w:val="22"/>
          <w:szCs w:val="22"/>
        </w:rPr>
        <w:t xml:space="preserve">Em cada questão de múltipla escolha, cada alternativa correta vale 0,5 </w:t>
      </w:r>
      <w:r w:rsidR="00BA4AFC" w:rsidRPr="00BD61F1">
        <w:rPr>
          <w:rFonts w:ascii="Times New Roman" w:hAnsi="Times New Roman" w:cs="Times New Roman"/>
          <w:bCs/>
          <w:sz w:val="22"/>
          <w:szCs w:val="22"/>
        </w:rPr>
        <w:t>valores</w:t>
      </w:r>
      <w:r w:rsidRPr="00BD61F1">
        <w:rPr>
          <w:rFonts w:ascii="Times New Roman" w:hAnsi="Times New Roman" w:cs="Times New Roman"/>
          <w:bCs/>
          <w:sz w:val="22"/>
          <w:szCs w:val="22"/>
        </w:rPr>
        <w:t xml:space="preserve">. Cada alternativa incorreta subtrai 0,1 </w:t>
      </w:r>
      <w:r w:rsidR="00BA4AFC" w:rsidRPr="00BD61F1">
        <w:rPr>
          <w:rFonts w:ascii="Times New Roman" w:hAnsi="Times New Roman" w:cs="Times New Roman"/>
          <w:bCs/>
          <w:sz w:val="22"/>
          <w:szCs w:val="22"/>
        </w:rPr>
        <w:t>valores</w:t>
      </w:r>
      <w:r w:rsidRPr="00BD61F1">
        <w:rPr>
          <w:rFonts w:ascii="Times New Roman" w:hAnsi="Times New Roman" w:cs="Times New Roman"/>
          <w:bCs/>
          <w:sz w:val="22"/>
          <w:szCs w:val="22"/>
        </w:rPr>
        <w:t>, enquanto alternativas não selecionadas não afetam a pontuação.</w:t>
      </w:r>
    </w:p>
    <w:p w14:paraId="280CD323" w14:textId="77777777" w:rsidR="00C42DDA" w:rsidRPr="00BD61F1" w:rsidRDefault="00C42DDA" w:rsidP="00BD61F1">
      <w:pPr>
        <w:pStyle w:val="BodyText"/>
        <w:spacing w:before="21" w:line="360" w:lineRule="auto"/>
        <w:jc w:val="both"/>
        <w:rPr>
          <w:rFonts w:ascii="Times New Roman" w:hAnsi="Times New Roman" w:cs="Times New Roman"/>
          <w:b/>
          <w:sz w:val="22"/>
          <w:szCs w:val="22"/>
        </w:rPr>
      </w:pPr>
    </w:p>
    <w:p w14:paraId="1DFAB02E" w14:textId="2BB50320" w:rsidR="0030086C" w:rsidRPr="00BD61F1" w:rsidRDefault="0030086C" w:rsidP="00BD61F1">
      <w:pPr>
        <w:tabs>
          <w:tab w:val="left" w:pos="608"/>
          <w:tab w:val="left" w:pos="610"/>
        </w:tabs>
        <w:spacing w:line="360" w:lineRule="auto"/>
        <w:ind w:left="251" w:right="297"/>
        <w:jc w:val="both"/>
        <w:rPr>
          <w:rFonts w:ascii="Times New Roman" w:hAnsi="Times New Roman" w:cs="Times New Roman"/>
        </w:rPr>
      </w:pPr>
      <w:r w:rsidRPr="00BD61F1">
        <w:rPr>
          <w:rFonts w:ascii="Times New Roman" w:hAnsi="Times New Roman" w:cs="Times New Roman"/>
        </w:rPr>
        <w:t>1. Segundo Acocella (1998), a política económica visa complementar a teoria económica neoclássica a três níveis. Qual das seguintes opções NÃO corresponde a um desses três níveis?a) Entender o processo de tomada de decisões públicas, dados os objetivos e funções das instituições.</w:t>
      </w:r>
    </w:p>
    <w:p w14:paraId="31CAA4B2" w14:textId="77777777" w:rsidR="0030086C" w:rsidRPr="00BD61F1" w:rsidRDefault="0030086C" w:rsidP="00BD61F1">
      <w:pPr>
        <w:tabs>
          <w:tab w:val="left" w:pos="608"/>
          <w:tab w:val="left" w:pos="610"/>
        </w:tabs>
        <w:spacing w:line="360" w:lineRule="auto"/>
        <w:ind w:left="251" w:right="297"/>
        <w:jc w:val="both"/>
        <w:rPr>
          <w:rFonts w:ascii="Times New Roman" w:hAnsi="Times New Roman" w:cs="Times New Roman"/>
        </w:rPr>
      </w:pPr>
      <w:r w:rsidRPr="00BD61F1">
        <w:rPr>
          <w:rFonts w:ascii="Times New Roman" w:hAnsi="Times New Roman" w:cs="Times New Roman"/>
        </w:rPr>
        <w:t>b) Entender a interação (substituição ou complementaridade) entre governo e mercado.</w:t>
      </w:r>
    </w:p>
    <w:p w14:paraId="0F428EBC" w14:textId="77777777" w:rsidR="0030086C" w:rsidRPr="00BD61F1" w:rsidRDefault="0030086C" w:rsidP="00BD61F1">
      <w:pPr>
        <w:tabs>
          <w:tab w:val="left" w:pos="608"/>
          <w:tab w:val="left" w:pos="610"/>
        </w:tabs>
        <w:spacing w:line="360" w:lineRule="auto"/>
        <w:ind w:left="251" w:right="297"/>
        <w:jc w:val="both"/>
        <w:rPr>
          <w:rFonts w:ascii="Times New Roman" w:hAnsi="Times New Roman" w:cs="Times New Roman"/>
        </w:rPr>
      </w:pPr>
      <w:r w:rsidRPr="00BD61F1">
        <w:rPr>
          <w:rFonts w:ascii="Times New Roman" w:hAnsi="Times New Roman" w:cs="Times New Roman"/>
        </w:rPr>
        <w:t>c) Identificar as preferências sociais e os objetivos socialmente desejáveis.</w:t>
      </w:r>
    </w:p>
    <w:p w14:paraId="4AF1722D" w14:textId="77777777" w:rsidR="0030086C" w:rsidRPr="00BD61F1" w:rsidRDefault="0030086C" w:rsidP="00BD61F1">
      <w:pPr>
        <w:tabs>
          <w:tab w:val="left" w:pos="608"/>
          <w:tab w:val="left" w:pos="610"/>
        </w:tabs>
        <w:spacing w:line="360" w:lineRule="auto"/>
        <w:ind w:left="251" w:right="297"/>
        <w:jc w:val="both"/>
        <w:rPr>
          <w:rFonts w:ascii="Times New Roman" w:hAnsi="Times New Roman" w:cs="Times New Roman"/>
        </w:rPr>
      </w:pPr>
      <w:r w:rsidRPr="009F6435">
        <w:rPr>
          <w:rFonts w:ascii="Times New Roman" w:hAnsi="Times New Roman" w:cs="Times New Roman"/>
          <w:highlight w:val="yellow"/>
        </w:rPr>
        <w:t>d) Determinar de forma exclusivamente técnica o nível ótimo de despesa pública, independentemente de opções políticas.</w:t>
      </w:r>
    </w:p>
    <w:p w14:paraId="1BC9414D" w14:textId="315CE488" w:rsidR="0030086C" w:rsidRPr="00BD61F1" w:rsidRDefault="0030086C" w:rsidP="00BD61F1">
      <w:pPr>
        <w:tabs>
          <w:tab w:val="left" w:pos="608"/>
          <w:tab w:val="left" w:pos="610"/>
        </w:tabs>
        <w:spacing w:line="360" w:lineRule="auto"/>
        <w:ind w:left="251" w:right="297"/>
        <w:jc w:val="both"/>
        <w:rPr>
          <w:rFonts w:ascii="Times New Roman" w:hAnsi="Times New Roman" w:cs="Times New Roman"/>
        </w:rPr>
      </w:pPr>
      <w:r w:rsidRPr="00BD61F1">
        <w:rPr>
          <w:rFonts w:ascii="Times New Roman" w:hAnsi="Times New Roman" w:cs="Times New Roman"/>
        </w:rPr>
        <w:t>e) Estudar a sobreposição entre sector público e mercado.</w:t>
      </w:r>
    </w:p>
    <w:p w14:paraId="53B802CE" w14:textId="77777777" w:rsidR="0030086C" w:rsidRPr="00BD61F1" w:rsidRDefault="0030086C" w:rsidP="00BD61F1">
      <w:pPr>
        <w:tabs>
          <w:tab w:val="left" w:pos="608"/>
          <w:tab w:val="left" w:pos="610"/>
        </w:tabs>
        <w:spacing w:line="360" w:lineRule="auto"/>
        <w:ind w:right="297"/>
        <w:jc w:val="both"/>
        <w:rPr>
          <w:rFonts w:ascii="Times New Roman" w:hAnsi="Times New Roman" w:cs="Times New Roman"/>
        </w:rPr>
      </w:pPr>
    </w:p>
    <w:p w14:paraId="37480D91" w14:textId="77777777" w:rsidR="00E10EA9" w:rsidRPr="00BD61F1" w:rsidRDefault="00E10EA9" w:rsidP="00BD61F1">
      <w:pPr>
        <w:tabs>
          <w:tab w:val="left" w:pos="608"/>
          <w:tab w:val="left" w:pos="610"/>
        </w:tabs>
        <w:spacing w:line="360" w:lineRule="auto"/>
        <w:ind w:left="251" w:right="297"/>
        <w:jc w:val="both"/>
        <w:rPr>
          <w:rFonts w:ascii="Times New Roman" w:hAnsi="Times New Roman" w:cs="Times New Roman"/>
        </w:rPr>
      </w:pPr>
    </w:p>
    <w:p w14:paraId="163D83F7" w14:textId="653BCD63" w:rsidR="00E10EA9" w:rsidRPr="00BD61F1" w:rsidRDefault="00A33712" w:rsidP="00BD61F1">
      <w:pPr>
        <w:tabs>
          <w:tab w:val="left" w:pos="608"/>
          <w:tab w:val="left" w:pos="610"/>
        </w:tabs>
        <w:spacing w:line="360" w:lineRule="auto"/>
        <w:ind w:left="251" w:right="297"/>
        <w:jc w:val="both"/>
        <w:rPr>
          <w:rFonts w:ascii="Times New Roman" w:hAnsi="Times New Roman" w:cs="Times New Roman"/>
        </w:rPr>
      </w:pPr>
      <w:r w:rsidRPr="00BD61F1">
        <w:rPr>
          <w:rFonts w:ascii="Times New Roman" w:hAnsi="Times New Roman" w:cs="Times New Roman"/>
        </w:rPr>
        <w:t>2</w:t>
      </w:r>
      <w:r w:rsidR="00E10EA9" w:rsidRPr="00BD61F1">
        <w:rPr>
          <w:rFonts w:ascii="Times New Roman" w:hAnsi="Times New Roman" w:cs="Times New Roman"/>
        </w:rPr>
        <w:t>. No contexto da financeirização das economias, qual destes comportamentos empresariais tem sido criticado por prejudicar o investimento em I&amp;D a longo prazo?</w:t>
      </w:r>
    </w:p>
    <w:p w14:paraId="260EC8B5" w14:textId="37D40A3D" w:rsidR="00E10EA9" w:rsidRPr="00BD61F1" w:rsidRDefault="00E10EA9" w:rsidP="00BD61F1">
      <w:pPr>
        <w:tabs>
          <w:tab w:val="left" w:pos="608"/>
          <w:tab w:val="left" w:pos="610"/>
        </w:tabs>
        <w:spacing w:line="360" w:lineRule="auto"/>
        <w:ind w:left="251" w:right="297"/>
        <w:jc w:val="both"/>
        <w:rPr>
          <w:rFonts w:ascii="Times New Roman" w:hAnsi="Times New Roman" w:cs="Times New Roman"/>
        </w:rPr>
      </w:pPr>
      <w:r w:rsidRPr="009F6435">
        <w:rPr>
          <w:rFonts w:ascii="Times New Roman" w:hAnsi="Times New Roman" w:cs="Times New Roman"/>
          <w:highlight w:val="yellow"/>
        </w:rPr>
        <w:t>a) Recompra de ações próprias (share buybacks) para aumentar o valor imediato para os acionistas.</w:t>
      </w:r>
    </w:p>
    <w:p w14:paraId="014E7224" w14:textId="6574404F" w:rsidR="00E10EA9" w:rsidRPr="00BD61F1" w:rsidRDefault="00E10EA9" w:rsidP="00BD61F1">
      <w:pPr>
        <w:tabs>
          <w:tab w:val="left" w:pos="608"/>
          <w:tab w:val="left" w:pos="610"/>
        </w:tabs>
        <w:spacing w:line="360" w:lineRule="auto"/>
        <w:ind w:left="251" w:right="297"/>
        <w:jc w:val="both"/>
        <w:rPr>
          <w:rFonts w:ascii="Times New Roman" w:hAnsi="Times New Roman" w:cs="Times New Roman"/>
        </w:rPr>
      </w:pPr>
      <w:r w:rsidRPr="00BD61F1">
        <w:rPr>
          <w:rFonts w:ascii="Times New Roman" w:hAnsi="Times New Roman" w:cs="Times New Roman"/>
        </w:rPr>
        <w:t>b) Concentração excessiva em métricas de curto prazo como o earnings per share (EPS).</w:t>
      </w:r>
    </w:p>
    <w:p w14:paraId="5A94BB78" w14:textId="05F00ECB" w:rsidR="00E10EA9" w:rsidRPr="00BD61F1" w:rsidRDefault="00E10EA9" w:rsidP="00BD61F1">
      <w:pPr>
        <w:tabs>
          <w:tab w:val="left" w:pos="608"/>
          <w:tab w:val="left" w:pos="610"/>
        </w:tabs>
        <w:spacing w:line="360" w:lineRule="auto"/>
        <w:ind w:left="251" w:right="297"/>
        <w:jc w:val="both"/>
        <w:rPr>
          <w:rFonts w:ascii="Times New Roman" w:hAnsi="Times New Roman" w:cs="Times New Roman"/>
        </w:rPr>
      </w:pPr>
      <w:r w:rsidRPr="00BD61F1">
        <w:rPr>
          <w:rFonts w:ascii="Times New Roman" w:hAnsi="Times New Roman" w:cs="Times New Roman"/>
        </w:rPr>
        <w:t>c) Emissão de dívida corporativa para financiar expansão internacional.</w:t>
      </w:r>
    </w:p>
    <w:p w14:paraId="47901DE4" w14:textId="6CAB6289" w:rsidR="00E10EA9" w:rsidRPr="00BD61F1" w:rsidRDefault="00E10EA9" w:rsidP="00BD61F1">
      <w:pPr>
        <w:tabs>
          <w:tab w:val="left" w:pos="608"/>
          <w:tab w:val="left" w:pos="610"/>
        </w:tabs>
        <w:spacing w:line="360" w:lineRule="auto"/>
        <w:ind w:left="251" w:right="297"/>
        <w:jc w:val="both"/>
        <w:rPr>
          <w:rFonts w:ascii="Times New Roman" w:hAnsi="Times New Roman" w:cs="Times New Roman"/>
        </w:rPr>
      </w:pPr>
      <w:r w:rsidRPr="00BD61F1">
        <w:rPr>
          <w:rFonts w:ascii="Times New Roman" w:hAnsi="Times New Roman" w:cs="Times New Roman"/>
        </w:rPr>
        <w:t>d) Investimento em programas de responsabilidade social corporativa.</w:t>
      </w:r>
    </w:p>
    <w:p w14:paraId="02722065" w14:textId="77777777" w:rsidR="00E10EA9" w:rsidRPr="00BD61F1" w:rsidRDefault="00E10EA9" w:rsidP="00BD61F1">
      <w:pPr>
        <w:tabs>
          <w:tab w:val="left" w:pos="608"/>
          <w:tab w:val="left" w:pos="610"/>
        </w:tabs>
        <w:spacing w:line="360" w:lineRule="auto"/>
        <w:ind w:left="251" w:right="297"/>
        <w:jc w:val="both"/>
        <w:rPr>
          <w:rFonts w:ascii="Times New Roman" w:hAnsi="Times New Roman" w:cs="Times New Roman"/>
        </w:rPr>
      </w:pPr>
      <w:r w:rsidRPr="00BD61F1">
        <w:rPr>
          <w:rFonts w:ascii="Times New Roman" w:hAnsi="Times New Roman" w:cs="Times New Roman"/>
        </w:rPr>
        <w:lastRenderedPageBreak/>
        <w:t>e) Aquisição de startups tecnológicas para integração no ecossistema da empresa.</w:t>
      </w:r>
    </w:p>
    <w:p w14:paraId="1654C75E" w14:textId="77777777" w:rsidR="00E10EA9" w:rsidRPr="00BD61F1" w:rsidRDefault="00E10EA9" w:rsidP="00BD61F1">
      <w:pPr>
        <w:tabs>
          <w:tab w:val="left" w:pos="608"/>
          <w:tab w:val="left" w:pos="610"/>
        </w:tabs>
        <w:spacing w:line="360" w:lineRule="auto"/>
        <w:ind w:left="251" w:right="297"/>
        <w:jc w:val="both"/>
        <w:rPr>
          <w:rFonts w:ascii="Times New Roman" w:hAnsi="Times New Roman" w:cs="Times New Roman"/>
        </w:rPr>
      </w:pPr>
    </w:p>
    <w:p w14:paraId="5D726472" w14:textId="77777777" w:rsidR="00A33712" w:rsidRPr="00BD61F1" w:rsidRDefault="00A33712" w:rsidP="00BD61F1">
      <w:pPr>
        <w:spacing w:before="200" w:after="80" w:line="360" w:lineRule="auto"/>
        <w:jc w:val="both"/>
        <w:rPr>
          <w:rFonts w:ascii="Times New Roman" w:eastAsia="Arial" w:hAnsi="Times New Roman" w:cs="Times New Roman"/>
        </w:rPr>
      </w:pPr>
      <w:r w:rsidRPr="00BD61F1">
        <w:rPr>
          <w:rFonts w:ascii="Times New Roman" w:hAnsi="Times New Roman" w:cs="Times New Roman"/>
        </w:rPr>
        <w:t>3. No âmbito das falhas de mercado de natureza microeconómica, a seleção adversa no mercado de seguros automóvel ou no mercado de carros usados resulta principalmente de:</w:t>
      </w:r>
    </w:p>
    <w:p w14:paraId="0884570A"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a) Externalidades negativas associadas à produção de bens públicos.</w:t>
      </w:r>
    </w:p>
    <w:p w14:paraId="580BDB25" w14:textId="77777777" w:rsidR="00A33712" w:rsidRPr="00BD61F1" w:rsidRDefault="00A33712" w:rsidP="00BD61F1">
      <w:pPr>
        <w:spacing w:after="40" w:line="360" w:lineRule="auto"/>
        <w:ind w:left="360"/>
        <w:jc w:val="both"/>
        <w:rPr>
          <w:rFonts w:ascii="Times New Roman" w:hAnsi="Times New Roman" w:cs="Times New Roman"/>
        </w:rPr>
      </w:pPr>
      <w:r w:rsidRPr="009F6435">
        <w:rPr>
          <w:rFonts w:ascii="Times New Roman" w:hAnsi="Times New Roman" w:cs="Times New Roman"/>
          <w:highlight w:val="yellow"/>
        </w:rPr>
        <w:t>b) Informação assimétrica entre as partes envolvidas na transação.</w:t>
      </w:r>
    </w:p>
    <w:p w14:paraId="59E30357"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c) Ausência de concorrência perfeita devido a barreiras à entrada.</w:t>
      </w:r>
    </w:p>
    <w:p w14:paraId="750405D5"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d) Coordenação ineficiente na produção, como no caso da poluição.</w:t>
      </w:r>
    </w:p>
    <w:p w14:paraId="3660A56E"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e) Inexistência de direitos de propriedade sobre o bem transacionado.</w:t>
      </w:r>
    </w:p>
    <w:p w14:paraId="186CECDD" w14:textId="77777777" w:rsidR="00E10EA9" w:rsidRPr="00BD61F1" w:rsidRDefault="00E10EA9" w:rsidP="00BD61F1">
      <w:pPr>
        <w:tabs>
          <w:tab w:val="left" w:pos="608"/>
          <w:tab w:val="left" w:pos="610"/>
        </w:tabs>
        <w:spacing w:line="360" w:lineRule="auto"/>
        <w:ind w:left="251" w:right="297"/>
        <w:jc w:val="both"/>
        <w:rPr>
          <w:rFonts w:ascii="Times New Roman" w:hAnsi="Times New Roman" w:cs="Times New Roman"/>
        </w:rPr>
      </w:pPr>
    </w:p>
    <w:p w14:paraId="472A377B" w14:textId="77777777" w:rsidR="00A33712" w:rsidRPr="00BD61F1" w:rsidRDefault="00A33712" w:rsidP="00BD61F1">
      <w:pPr>
        <w:spacing w:before="200" w:after="80" w:line="360" w:lineRule="auto"/>
        <w:jc w:val="both"/>
        <w:rPr>
          <w:rFonts w:ascii="Times New Roman" w:eastAsia="Arial" w:hAnsi="Times New Roman" w:cs="Times New Roman"/>
        </w:rPr>
      </w:pPr>
      <w:r w:rsidRPr="00BD61F1">
        <w:rPr>
          <w:rFonts w:ascii="Times New Roman" w:hAnsi="Times New Roman" w:cs="Times New Roman"/>
        </w:rPr>
        <w:t>4. Qual dos seguintes critérios normativos utilizados pelos economistas corresponde à definição de eficiência apresentada nas aulas?</w:t>
      </w:r>
    </w:p>
    <w:p w14:paraId="399F5056"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a) Determinar os efeitos da distribuição da carga fiscal e dos benefícios da despesa pública no bem-estar social.</w:t>
      </w:r>
    </w:p>
    <w:p w14:paraId="2FD9D2B4" w14:textId="77777777" w:rsidR="00A33712" w:rsidRPr="00BD61F1" w:rsidRDefault="00A33712" w:rsidP="00BD61F1">
      <w:pPr>
        <w:spacing w:after="40" w:line="360" w:lineRule="auto"/>
        <w:ind w:left="360"/>
        <w:jc w:val="both"/>
        <w:rPr>
          <w:rFonts w:ascii="Times New Roman" w:hAnsi="Times New Roman" w:cs="Times New Roman"/>
        </w:rPr>
      </w:pPr>
      <w:r w:rsidRPr="009F6435">
        <w:rPr>
          <w:rFonts w:ascii="Times New Roman" w:hAnsi="Times New Roman" w:cs="Times New Roman"/>
          <w:highlight w:val="yellow"/>
        </w:rPr>
        <w:t>b) Afetar os recursos de forma a que não seja possível melhorar o bem-estar de um agente sem reduzir o de outro.</w:t>
      </w:r>
    </w:p>
    <w:p w14:paraId="5275069A"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c) Garantir que o indivíduo retém uma esfera de autonomia imune à intervenção coerciva do Estado.</w:t>
      </w:r>
    </w:p>
    <w:p w14:paraId="6E8B1929"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d) Assegurar que todas as decisões económicas são tomadas exclusivamente pelo mercado.</w:t>
      </w:r>
    </w:p>
    <w:p w14:paraId="69512437"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e) Igualar o rendimento disponível de todos os agentes económicos.</w:t>
      </w:r>
    </w:p>
    <w:p w14:paraId="755D1401" w14:textId="77777777" w:rsidR="00E10EA9" w:rsidRPr="00BD61F1" w:rsidRDefault="00E10EA9" w:rsidP="00BD61F1">
      <w:pPr>
        <w:tabs>
          <w:tab w:val="left" w:pos="608"/>
          <w:tab w:val="left" w:pos="610"/>
        </w:tabs>
        <w:spacing w:line="360" w:lineRule="auto"/>
        <w:ind w:left="251" w:right="297"/>
        <w:jc w:val="both"/>
        <w:rPr>
          <w:rFonts w:ascii="Times New Roman" w:hAnsi="Times New Roman" w:cs="Times New Roman"/>
        </w:rPr>
      </w:pPr>
    </w:p>
    <w:p w14:paraId="46875FE4" w14:textId="77777777" w:rsidR="00A33712" w:rsidRPr="00BD61F1" w:rsidRDefault="00A33712" w:rsidP="00BD61F1">
      <w:pPr>
        <w:spacing w:before="200" w:after="80" w:line="360" w:lineRule="auto"/>
        <w:jc w:val="both"/>
        <w:rPr>
          <w:rFonts w:ascii="Times New Roman" w:eastAsia="Arial" w:hAnsi="Times New Roman" w:cs="Times New Roman"/>
        </w:rPr>
      </w:pPr>
      <w:r w:rsidRPr="00BD61F1">
        <w:rPr>
          <w:rFonts w:ascii="Times New Roman" w:hAnsi="Times New Roman" w:cs="Times New Roman"/>
        </w:rPr>
        <w:t>5. Qual das seguintes opções descreve corretamente a função afetação do sector público, tal como definida nas aulas?</w:t>
      </w:r>
    </w:p>
    <w:p w14:paraId="5276789B"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a) Corrigir a distribuição do rendimento e da riqueza herdada do passado.</w:t>
      </w:r>
    </w:p>
    <w:p w14:paraId="25FDB6CA"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b) Promover o crescimento sustentado da economia e a estabilidade de preços.</w:t>
      </w:r>
    </w:p>
    <w:p w14:paraId="115A2D1E" w14:textId="77777777" w:rsidR="00A33712" w:rsidRPr="00BD61F1" w:rsidRDefault="00A33712" w:rsidP="00BD61F1">
      <w:pPr>
        <w:spacing w:after="40" w:line="360" w:lineRule="auto"/>
        <w:ind w:left="360"/>
        <w:jc w:val="both"/>
        <w:rPr>
          <w:rFonts w:ascii="Times New Roman" w:hAnsi="Times New Roman" w:cs="Times New Roman"/>
        </w:rPr>
      </w:pPr>
      <w:r w:rsidRPr="009F6435">
        <w:rPr>
          <w:rFonts w:ascii="Times New Roman" w:hAnsi="Times New Roman" w:cs="Times New Roman"/>
          <w:highlight w:val="yellow"/>
        </w:rPr>
        <w:t>c) Contribuir para uma afetação eficiente de recursos, através da provisão de bens públicos, tributação/subsídios e regulação.</w:t>
      </w:r>
    </w:p>
    <w:p w14:paraId="4B81812F"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d) Garantir o pleno emprego através da manipulação da taxa de juro.</w:t>
      </w:r>
    </w:p>
    <w:p w14:paraId="4245C523"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e) Substituir integralmente o mercado na produção de bens privados.</w:t>
      </w:r>
    </w:p>
    <w:p w14:paraId="09A89A1F" w14:textId="77777777" w:rsidR="00A33712" w:rsidRPr="00BD61F1" w:rsidRDefault="00A33712" w:rsidP="00BD61F1">
      <w:pPr>
        <w:spacing w:before="200" w:after="80" w:line="360" w:lineRule="auto"/>
        <w:jc w:val="both"/>
        <w:rPr>
          <w:rFonts w:ascii="Times New Roman" w:hAnsi="Times New Roman" w:cs="Times New Roman"/>
        </w:rPr>
      </w:pPr>
      <w:r w:rsidRPr="00BD61F1">
        <w:rPr>
          <w:rFonts w:ascii="Times New Roman" w:hAnsi="Times New Roman" w:cs="Times New Roman"/>
        </w:rPr>
        <w:t>6. Na classificação económica da despesa pública, a despesa com o pessoal e os juros da dívida pública são exemplos de:</w:t>
      </w:r>
    </w:p>
    <w:p w14:paraId="242D58E7"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a) Despesa de capital, por aumentarem o património do Estado.</w:t>
      </w:r>
    </w:p>
    <w:p w14:paraId="7AB84DE3" w14:textId="77777777" w:rsidR="00A33712" w:rsidRPr="00BD61F1" w:rsidRDefault="00A33712" w:rsidP="00BD61F1">
      <w:pPr>
        <w:spacing w:after="40" w:line="360" w:lineRule="auto"/>
        <w:ind w:left="360"/>
        <w:jc w:val="both"/>
        <w:rPr>
          <w:rFonts w:ascii="Times New Roman" w:hAnsi="Times New Roman" w:cs="Times New Roman"/>
        </w:rPr>
      </w:pPr>
      <w:r w:rsidRPr="009F6435">
        <w:rPr>
          <w:rFonts w:ascii="Times New Roman" w:hAnsi="Times New Roman" w:cs="Times New Roman"/>
          <w:highlight w:val="yellow"/>
        </w:rPr>
        <w:t>b) Despesa corrente, por serem gastos destinados ao funcionamento normal do Estado.</w:t>
      </w:r>
    </w:p>
    <w:p w14:paraId="0B90F19B"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c) Receita pública não fiscal.</w:t>
      </w:r>
    </w:p>
    <w:p w14:paraId="52918FC3"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d) Investimento público em infraestruturas.</w:t>
      </w:r>
    </w:p>
    <w:p w14:paraId="35451E7B"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e) Transferências de capital para o sector privado.</w:t>
      </w:r>
    </w:p>
    <w:p w14:paraId="37AF2B14" w14:textId="77777777" w:rsidR="00A33712" w:rsidRPr="00BD61F1" w:rsidRDefault="00A33712" w:rsidP="00BD61F1">
      <w:pPr>
        <w:spacing w:before="200" w:after="80" w:line="360" w:lineRule="auto"/>
        <w:jc w:val="both"/>
        <w:rPr>
          <w:rFonts w:ascii="Times New Roman" w:hAnsi="Times New Roman" w:cs="Times New Roman"/>
        </w:rPr>
      </w:pPr>
      <w:r w:rsidRPr="00BD61F1">
        <w:rPr>
          <w:rFonts w:ascii="Times New Roman" w:hAnsi="Times New Roman" w:cs="Times New Roman"/>
        </w:rPr>
        <w:lastRenderedPageBreak/>
        <w:t>7. Qual dos seguintes instrumentos de política monetária utilizados pelo BCE corresponde à compra e venda de títulos financeiros para fazer variar a liquidez de mercado?</w:t>
      </w:r>
    </w:p>
    <w:p w14:paraId="5614624D"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a) Facilidade de cedência de liquidez.</w:t>
      </w:r>
    </w:p>
    <w:p w14:paraId="670BFB1D"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b) Facilidade de depósito.</w:t>
      </w:r>
    </w:p>
    <w:p w14:paraId="51AD6AE4" w14:textId="77777777" w:rsidR="00A33712" w:rsidRPr="00BD61F1" w:rsidRDefault="00A33712" w:rsidP="00BD61F1">
      <w:pPr>
        <w:spacing w:after="40" w:line="360" w:lineRule="auto"/>
        <w:ind w:left="360"/>
        <w:jc w:val="both"/>
        <w:rPr>
          <w:rFonts w:ascii="Times New Roman" w:hAnsi="Times New Roman" w:cs="Times New Roman"/>
        </w:rPr>
      </w:pPr>
      <w:r w:rsidRPr="009F6435">
        <w:rPr>
          <w:rFonts w:ascii="Times New Roman" w:hAnsi="Times New Roman" w:cs="Times New Roman"/>
          <w:highlight w:val="yellow"/>
        </w:rPr>
        <w:t>c) Operações de Open Market.</w:t>
      </w:r>
    </w:p>
    <w:p w14:paraId="04EA8120"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d) Requisitos de reservas mínimas.</w:t>
      </w:r>
    </w:p>
    <w:p w14:paraId="3368695D"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e) Federal Funds Rate.</w:t>
      </w:r>
    </w:p>
    <w:p w14:paraId="479EEC3A" w14:textId="77777777" w:rsidR="00A33712" w:rsidRPr="00BD61F1" w:rsidRDefault="00A33712" w:rsidP="00BD61F1">
      <w:pPr>
        <w:spacing w:before="200" w:after="80" w:line="360" w:lineRule="auto"/>
        <w:jc w:val="both"/>
        <w:rPr>
          <w:rFonts w:ascii="Times New Roman" w:hAnsi="Times New Roman" w:cs="Times New Roman"/>
        </w:rPr>
      </w:pPr>
      <w:r w:rsidRPr="00BD61F1">
        <w:rPr>
          <w:rFonts w:ascii="Times New Roman" w:hAnsi="Times New Roman" w:cs="Times New Roman"/>
        </w:rPr>
        <w:t>8. Segundo a Lei de Verdoorn, referida por Kaldor (1966) para explicar o papel do setor industrial no crescimento económico:</w:t>
      </w:r>
    </w:p>
    <w:p w14:paraId="36D945F0" w14:textId="77777777" w:rsidR="00A33712" w:rsidRPr="00BD61F1" w:rsidRDefault="00A33712" w:rsidP="00BD61F1">
      <w:pPr>
        <w:spacing w:after="40" w:line="360" w:lineRule="auto"/>
        <w:ind w:left="360"/>
        <w:jc w:val="both"/>
        <w:rPr>
          <w:rFonts w:ascii="Times New Roman" w:hAnsi="Times New Roman" w:cs="Times New Roman"/>
        </w:rPr>
      </w:pPr>
      <w:r w:rsidRPr="009F6435">
        <w:rPr>
          <w:rFonts w:ascii="Times New Roman" w:hAnsi="Times New Roman" w:cs="Times New Roman"/>
          <w:highlight w:val="yellow"/>
        </w:rPr>
        <w:t>a) Quanto maior o crescimento da produção industrial, mais elevado é o crescimento da produtividade.</w:t>
      </w:r>
    </w:p>
    <w:p w14:paraId="485CCBFF"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b) O crescimento da produtividade no setor industrial é independente do crescimento da produção.</w:t>
      </w:r>
    </w:p>
    <w:p w14:paraId="2B0ADE3D"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c) Apenas o setor dos serviços beneficia de economias de escala relevantes para o crescimento.</w:t>
      </w:r>
    </w:p>
    <w:p w14:paraId="5AFC9383"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d) A relação entre produção e produtividade é negativa no setor industrial.</w:t>
      </w:r>
    </w:p>
    <w:p w14:paraId="26B40220"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e) A Lei de Verdoorn aplica-se exclusivamente ao setor agrícola.</w:t>
      </w:r>
    </w:p>
    <w:p w14:paraId="0C70F97A" w14:textId="77777777" w:rsidR="00A33712" w:rsidRPr="00BD61F1" w:rsidRDefault="00A33712" w:rsidP="00BD61F1">
      <w:pPr>
        <w:spacing w:before="200" w:after="80" w:line="360" w:lineRule="auto"/>
        <w:jc w:val="both"/>
        <w:rPr>
          <w:rFonts w:ascii="Times New Roman" w:hAnsi="Times New Roman" w:cs="Times New Roman"/>
        </w:rPr>
      </w:pPr>
    </w:p>
    <w:p w14:paraId="62C250ED" w14:textId="7F5F774E" w:rsidR="00A33712" w:rsidRPr="00BD61F1" w:rsidRDefault="00A33712" w:rsidP="00BD61F1">
      <w:pPr>
        <w:spacing w:before="200" w:after="80" w:line="360" w:lineRule="auto"/>
        <w:jc w:val="both"/>
        <w:rPr>
          <w:rFonts w:ascii="Times New Roman" w:hAnsi="Times New Roman" w:cs="Times New Roman"/>
        </w:rPr>
      </w:pPr>
      <w:r w:rsidRPr="00BD61F1">
        <w:rPr>
          <w:rFonts w:ascii="Times New Roman" w:hAnsi="Times New Roman" w:cs="Times New Roman"/>
        </w:rPr>
        <w:t>9. De acordo com a definição da Organização Internacional do Trabalho referida nas aulas, uma pessoa é considerada desempregada quando, cumulativamente:</w:t>
      </w:r>
    </w:p>
    <w:p w14:paraId="53A782FE"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a) Está empregada a tempo parcial e procura um segundo emprego.</w:t>
      </w:r>
    </w:p>
    <w:p w14:paraId="5C591D84" w14:textId="77777777" w:rsidR="00A33712" w:rsidRPr="00BD61F1" w:rsidRDefault="00A33712" w:rsidP="00BD61F1">
      <w:pPr>
        <w:spacing w:after="40" w:line="360" w:lineRule="auto"/>
        <w:ind w:left="360"/>
        <w:jc w:val="both"/>
        <w:rPr>
          <w:rFonts w:ascii="Times New Roman" w:hAnsi="Times New Roman" w:cs="Times New Roman"/>
        </w:rPr>
      </w:pPr>
      <w:r w:rsidRPr="009F6435">
        <w:rPr>
          <w:rFonts w:ascii="Times New Roman" w:hAnsi="Times New Roman" w:cs="Times New Roman"/>
          <w:highlight w:val="yellow"/>
        </w:rPr>
        <w:t>b) Está sem emprego há pelo menos 4 semanas, está disponível para trabalhar e procurou ativamente emprego.</w:t>
      </w:r>
    </w:p>
    <w:p w14:paraId="61CE4996"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c) Recebe subsídio de desemprego, independentemente de procurar trabalho.</w:t>
      </w:r>
    </w:p>
    <w:p w14:paraId="41E9EA44"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d) Está reformada mas continua disponível para trabalhar ocasionalmente.</w:t>
      </w:r>
    </w:p>
    <w:p w14:paraId="28CDEF3B" w14:textId="1755BF3C" w:rsidR="00A33712" w:rsidRPr="00BD61F1" w:rsidRDefault="00A33712" w:rsidP="00326AAA">
      <w:pPr>
        <w:spacing w:after="40" w:line="360" w:lineRule="auto"/>
        <w:ind w:left="360"/>
        <w:jc w:val="both"/>
        <w:rPr>
          <w:rFonts w:ascii="Times New Roman" w:hAnsi="Times New Roman" w:cs="Times New Roman"/>
        </w:rPr>
      </w:pPr>
      <w:r w:rsidRPr="00BD61F1">
        <w:rPr>
          <w:rFonts w:ascii="Times New Roman" w:hAnsi="Times New Roman" w:cs="Times New Roman"/>
        </w:rPr>
        <w:t>e) É estudante e nunca exerceu uma atividade profissional.</w:t>
      </w:r>
    </w:p>
    <w:p w14:paraId="4F962D00" w14:textId="77777777" w:rsidR="00326AAA" w:rsidRPr="00BD61F1" w:rsidRDefault="00326AAA" w:rsidP="00BD61F1">
      <w:pPr>
        <w:spacing w:after="40" w:line="360" w:lineRule="auto"/>
        <w:ind w:left="360"/>
        <w:jc w:val="both"/>
        <w:rPr>
          <w:rFonts w:ascii="Times New Roman" w:hAnsi="Times New Roman" w:cs="Times New Roman"/>
        </w:rPr>
      </w:pPr>
    </w:p>
    <w:p w14:paraId="65786CE6" w14:textId="47A890F5" w:rsidR="00A33712" w:rsidRPr="00BD61F1" w:rsidRDefault="00A33712" w:rsidP="00BD61F1">
      <w:pPr>
        <w:spacing w:before="200" w:after="80" w:line="360" w:lineRule="auto"/>
        <w:jc w:val="both"/>
        <w:rPr>
          <w:rFonts w:ascii="Times New Roman" w:hAnsi="Times New Roman" w:cs="Times New Roman"/>
        </w:rPr>
      </w:pPr>
      <w:r w:rsidRPr="00BD61F1">
        <w:rPr>
          <w:rFonts w:ascii="Times New Roman" w:hAnsi="Times New Roman" w:cs="Times New Roman"/>
        </w:rPr>
        <w:t>10. O Protocolo de Quioto introduziu três mecanismos baseados no mercado para ajudar os países a cumprir as suas metas de redução de emissões. Qual das seguintes opções NÃO é um desses três mecanismos?</w:t>
      </w:r>
    </w:p>
    <w:p w14:paraId="57F6B016"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a) Mecanismo de Desenvolvimento Limpo.</w:t>
      </w:r>
    </w:p>
    <w:p w14:paraId="2DCE117D"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b) Mecanismo de Implementação Conjunta.</w:t>
      </w:r>
    </w:p>
    <w:p w14:paraId="5581A58D" w14:textId="7777777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c) Comércio de emissões.</w:t>
      </w:r>
    </w:p>
    <w:p w14:paraId="69B8F474" w14:textId="77777777" w:rsidR="00A33712" w:rsidRPr="00BD61F1" w:rsidRDefault="00A33712" w:rsidP="00BD61F1">
      <w:pPr>
        <w:spacing w:after="40" w:line="360" w:lineRule="auto"/>
        <w:ind w:left="360"/>
        <w:jc w:val="both"/>
        <w:rPr>
          <w:rFonts w:ascii="Times New Roman" w:hAnsi="Times New Roman" w:cs="Times New Roman"/>
        </w:rPr>
      </w:pPr>
      <w:r w:rsidRPr="009F6435">
        <w:rPr>
          <w:rFonts w:ascii="Times New Roman" w:hAnsi="Times New Roman" w:cs="Times New Roman"/>
          <w:highlight w:val="yellow"/>
        </w:rPr>
        <w:t>d) Imposto único global sobre o carbono administrado pelas Nações Unidas.</w:t>
      </w:r>
    </w:p>
    <w:p w14:paraId="7786E4FF" w14:textId="1719C557" w:rsidR="00A33712" w:rsidRPr="00BD61F1" w:rsidRDefault="00A33712" w:rsidP="00BD61F1">
      <w:pPr>
        <w:spacing w:after="40" w:line="360" w:lineRule="auto"/>
        <w:ind w:left="360"/>
        <w:jc w:val="both"/>
        <w:rPr>
          <w:rFonts w:ascii="Times New Roman" w:hAnsi="Times New Roman" w:cs="Times New Roman"/>
        </w:rPr>
      </w:pPr>
      <w:r w:rsidRPr="00BD61F1">
        <w:rPr>
          <w:rFonts w:ascii="Times New Roman" w:hAnsi="Times New Roman" w:cs="Times New Roman"/>
        </w:rPr>
        <w:t>e) Nenhuma das anteriores — todas fazem parte dos mecanismos do Protocolo de Quioto.</w:t>
      </w:r>
    </w:p>
    <w:p w14:paraId="52B464DC" w14:textId="540AF79F" w:rsidR="00A33712" w:rsidRDefault="00A33712" w:rsidP="00326AAA">
      <w:pPr>
        <w:spacing w:after="40" w:line="360" w:lineRule="auto"/>
        <w:ind w:left="360"/>
        <w:jc w:val="both"/>
        <w:rPr>
          <w:rFonts w:ascii="Times New Roman" w:hAnsi="Times New Roman" w:cs="Times New Roman"/>
        </w:rPr>
      </w:pPr>
    </w:p>
    <w:p w14:paraId="43CA7890" w14:textId="77777777" w:rsidR="00326AAA" w:rsidRPr="00BD61F1" w:rsidRDefault="00326AAA" w:rsidP="00BD61F1">
      <w:pPr>
        <w:spacing w:after="40" w:line="360" w:lineRule="auto"/>
        <w:ind w:left="360"/>
        <w:jc w:val="both"/>
        <w:rPr>
          <w:rFonts w:ascii="Times New Roman" w:hAnsi="Times New Roman" w:cs="Times New Roman"/>
        </w:rPr>
      </w:pPr>
    </w:p>
    <w:p w14:paraId="12A167BB" w14:textId="77777777" w:rsidR="00A33712" w:rsidRPr="00BD61F1" w:rsidRDefault="00A33712" w:rsidP="00BD61F1">
      <w:pPr>
        <w:pStyle w:val="Heading1"/>
        <w:spacing w:line="360" w:lineRule="auto"/>
        <w:jc w:val="both"/>
        <w:rPr>
          <w:rFonts w:ascii="Times New Roman" w:hAnsi="Times New Roman" w:cs="Times New Roman"/>
          <w:sz w:val="22"/>
          <w:szCs w:val="22"/>
        </w:rPr>
      </w:pPr>
      <w:r w:rsidRPr="00BD61F1">
        <w:rPr>
          <w:rFonts w:ascii="Times New Roman" w:hAnsi="Times New Roman" w:cs="Times New Roman"/>
          <w:sz w:val="22"/>
          <w:szCs w:val="22"/>
        </w:rPr>
        <w:lastRenderedPageBreak/>
        <w:t>[15,0</w:t>
      </w:r>
      <w:r w:rsidRPr="00BD61F1">
        <w:rPr>
          <w:rFonts w:ascii="Times New Roman" w:hAnsi="Times New Roman" w:cs="Times New Roman"/>
          <w:spacing w:val="-5"/>
          <w:sz w:val="22"/>
          <w:szCs w:val="22"/>
        </w:rPr>
        <w:t xml:space="preserve"> </w:t>
      </w:r>
      <w:r w:rsidRPr="00BD61F1">
        <w:rPr>
          <w:rFonts w:ascii="Times New Roman" w:hAnsi="Times New Roman" w:cs="Times New Roman"/>
          <w:sz w:val="22"/>
          <w:szCs w:val="22"/>
        </w:rPr>
        <w:t>val]</w:t>
      </w:r>
      <w:r w:rsidRPr="00BD61F1">
        <w:rPr>
          <w:rFonts w:ascii="Times New Roman" w:hAnsi="Times New Roman" w:cs="Times New Roman"/>
          <w:spacing w:val="-3"/>
          <w:sz w:val="22"/>
          <w:szCs w:val="22"/>
        </w:rPr>
        <w:t xml:space="preserve"> </w:t>
      </w:r>
      <w:r w:rsidRPr="00BD61F1">
        <w:rPr>
          <w:rFonts w:ascii="Times New Roman" w:hAnsi="Times New Roman" w:cs="Times New Roman"/>
          <w:sz w:val="22"/>
          <w:szCs w:val="22"/>
        </w:rPr>
        <w:t>II.</w:t>
      </w:r>
      <w:r w:rsidRPr="00BD61F1">
        <w:rPr>
          <w:rFonts w:ascii="Times New Roman" w:hAnsi="Times New Roman" w:cs="Times New Roman"/>
          <w:spacing w:val="-1"/>
          <w:sz w:val="22"/>
          <w:szCs w:val="22"/>
        </w:rPr>
        <w:t xml:space="preserve"> </w:t>
      </w:r>
      <w:r w:rsidRPr="00BD61F1">
        <w:rPr>
          <w:rFonts w:ascii="Times New Roman" w:hAnsi="Times New Roman" w:cs="Times New Roman"/>
          <w:sz w:val="22"/>
          <w:szCs w:val="22"/>
        </w:rPr>
        <w:t>Perguntas de desenvolvimento</w:t>
      </w:r>
    </w:p>
    <w:p w14:paraId="551520E3" w14:textId="77777777" w:rsidR="00A33712" w:rsidRPr="00BD61F1" w:rsidRDefault="00A33712" w:rsidP="00BD61F1">
      <w:pPr>
        <w:pStyle w:val="Heading1"/>
        <w:spacing w:line="360" w:lineRule="auto"/>
        <w:jc w:val="both"/>
        <w:rPr>
          <w:rFonts w:ascii="Times New Roman" w:hAnsi="Times New Roman" w:cs="Times New Roman"/>
          <w:sz w:val="22"/>
          <w:szCs w:val="22"/>
        </w:rPr>
      </w:pPr>
    </w:p>
    <w:p w14:paraId="269B9366" w14:textId="77777777" w:rsidR="00A33712" w:rsidRPr="00BD61F1" w:rsidRDefault="00A33712" w:rsidP="00BD61F1">
      <w:pPr>
        <w:pStyle w:val="Heading1"/>
        <w:spacing w:line="360" w:lineRule="auto"/>
        <w:jc w:val="both"/>
        <w:rPr>
          <w:rFonts w:ascii="Times New Roman" w:hAnsi="Times New Roman" w:cs="Times New Roman"/>
          <w:b w:val="0"/>
          <w:bCs w:val="0"/>
          <w:sz w:val="22"/>
          <w:szCs w:val="22"/>
        </w:rPr>
      </w:pPr>
      <w:r w:rsidRPr="00BD61F1">
        <w:rPr>
          <w:rFonts w:ascii="Times New Roman" w:hAnsi="Times New Roman" w:cs="Times New Roman"/>
          <w:b w:val="0"/>
          <w:bCs w:val="0"/>
          <w:sz w:val="22"/>
          <w:szCs w:val="22"/>
        </w:rPr>
        <w:t>Cada pergunta vale 3 valores. Das seis questões propostas, o aluno deverá responder obrigatoriamente a cinco, à sua escolha.</w:t>
      </w:r>
    </w:p>
    <w:p w14:paraId="01541B21" w14:textId="6BBB0925" w:rsidR="00A33712" w:rsidRPr="00BD61F1" w:rsidRDefault="00A33712" w:rsidP="00BD61F1">
      <w:pPr>
        <w:spacing w:after="40" w:line="360" w:lineRule="auto"/>
        <w:ind w:left="360"/>
        <w:jc w:val="both"/>
        <w:rPr>
          <w:rFonts w:ascii="Times New Roman" w:hAnsi="Times New Roman" w:cs="Times New Roman"/>
        </w:rPr>
      </w:pPr>
    </w:p>
    <w:p w14:paraId="0EDD08F2" w14:textId="58C067F7" w:rsidR="00A33712" w:rsidRPr="009F6435" w:rsidRDefault="00A33712" w:rsidP="009F6435">
      <w:pPr>
        <w:pStyle w:val="ListParagraph"/>
        <w:numPr>
          <w:ilvl w:val="0"/>
          <w:numId w:val="5"/>
        </w:numPr>
        <w:spacing w:before="200" w:after="200" w:line="360" w:lineRule="auto"/>
        <w:rPr>
          <w:rFonts w:ascii="Times New Roman" w:hAnsi="Times New Roman" w:cs="Times New Roman"/>
        </w:rPr>
      </w:pPr>
      <w:r w:rsidRPr="009F6435">
        <w:rPr>
          <w:rFonts w:ascii="Times New Roman" w:hAnsi="Times New Roman" w:cs="Times New Roman"/>
        </w:rPr>
        <w:t>As falhas de mercado de natureza macroeconómica (recessões, desemprego persistente, crises bancárias e cambiais, subdesenvolvimento) não parecem ser explicadas pelas falhas de mercado de natureza microeconómica. Discuta por que motivo a teoria do equilíbrio geral tem dificuldade em explicar o desemprego involuntário persistente, e em que sentido a macroeconomia pode ser vista como uma área com fundamentações próprias, distintas da microeconomia.</w:t>
      </w:r>
    </w:p>
    <w:p w14:paraId="6DE0C7B7" w14:textId="77777777" w:rsidR="009F6435" w:rsidRPr="009F6435" w:rsidRDefault="009F6435" w:rsidP="009F6435">
      <w:pPr>
        <w:spacing w:before="200" w:after="200" w:line="360" w:lineRule="auto"/>
        <w:jc w:val="both"/>
        <w:rPr>
          <w:rFonts w:ascii="Times New Roman" w:eastAsia="Arial" w:hAnsi="Times New Roman" w:cs="Times New Roman"/>
          <w:i/>
          <w:iCs/>
        </w:rPr>
      </w:pPr>
      <w:r w:rsidRPr="009F6435">
        <w:rPr>
          <w:rFonts w:ascii="Times New Roman" w:eastAsia="Arial" w:hAnsi="Times New Roman" w:cs="Times New Roman"/>
          <w:i/>
          <w:iCs/>
        </w:rPr>
        <w:t>A teoria do equilíbrio geral walrasiana pressupõe que, num sistema de mercados completos com preços flexíveis, os mercados tendem para o equilíbrio com plena utilização dos recursos. Neste quadro, o desemprego é encarado como fenómeno voluntário: um trabalhador só estaria desempregado se o salário de mercado for inferior à sua utilidade marginal do lazer. O desemprego involuntário persistente — em que os trabalhadores querem trabalhar ao salário vigente mas não encontram emprego — é assim uma anomalia que a teoria do equilíbrio geral não consegue explicar de forma satisfatória.</w:t>
      </w:r>
    </w:p>
    <w:p w14:paraId="635AB43C" w14:textId="16408A96" w:rsidR="009F6435" w:rsidRPr="009F6435" w:rsidRDefault="009F6435" w:rsidP="009F6435">
      <w:pPr>
        <w:spacing w:before="200" w:after="200" w:line="360" w:lineRule="auto"/>
        <w:jc w:val="both"/>
        <w:rPr>
          <w:rFonts w:ascii="Times New Roman" w:eastAsia="Arial" w:hAnsi="Times New Roman" w:cs="Times New Roman"/>
          <w:i/>
          <w:iCs/>
        </w:rPr>
      </w:pPr>
      <w:r w:rsidRPr="009F6435">
        <w:rPr>
          <w:rFonts w:ascii="Times New Roman" w:eastAsia="Arial" w:hAnsi="Times New Roman" w:cs="Times New Roman"/>
          <w:i/>
          <w:iCs/>
        </w:rPr>
        <w:t xml:space="preserve">Esta limitação não se deve apenas a imperfeições microeconómicas pontuais (como rigidez de preços ou salários mínimos), mas parece exigir uma fundamentação macroeconómica própria. Keynes argumentou que a procura agregada insuficiente pode levar a equilíbrios com desemprego que nenhum ajustamento individual de salários consegue corrigir </w:t>
      </w:r>
      <w:r>
        <w:rPr>
          <w:rFonts w:ascii="Times New Roman" w:eastAsia="Arial" w:hAnsi="Times New Roman" w:cs="Times New Roman"/>
          <w:i/>
          <w:iCs/>
        </w:rPr>
        <w:t>-</w:t>
      </w:r>
      <w:r w:rsidRPr="009F6435">
        <w:rPr>
          <w:rFonts w:ascii="Times New Roman" w:eastAsia="Arial" w:hAnsi="Times New Roman" w:cs="Times New Roman"/>
          <w:i/>
          <w:iCs/>
        </w:rPr>
        <w:t xml:space="preserve"> a "falácia da composição": o que é racional para cada firma individualmente (reduzir salários) pode ser destrutivo para o agregado, ao comprimir a procura. O modelo WS-PS, abordado nas aulas, mostra que o desemprego de equilíbrio (NAIRU) resulta do poder de mercado dos trabalhadores e das empresas, sendo estrutural e não necessariamente resolvido por flexibilidade de preços.</w:t>
      </w:r>
    </w:p>
    <w:p w14:paraId="0C5CA206" w14:textId="05E5D6D8" w:rsidR="009F6435" w:rsidRPr="009F6435" w:rsidRDefault="009F6435" w:rsidP="009F6435">
      <w:pPr>
        <w:spacing w:before="200" w:after="200" w:line="360" w:lineRule="auto"/>
        <w:jc w:val="both"/>
        <w:rPr>
          <w:rFonts w:ascii="Times New Roman" w:eastAsia="Arial" w:hAnsi="Times New Roman" w:cs="Times New Roman"/>
          <w:i/>
          <w:iCs/>
        </w:rPr>
      </w:pPr>
      <w:r w:rsidRPr="009F6435">
        <w:rPr>
          <w:rFonts w:ascii="Times New Roman" w:eastAsia="Arial" w:hAnsi="Times New Roman" w:cs="Times New Roman"/>
          <w:i/>
          <w:iCs/>
        </w:rPr>
        <w:t xml:space="preserve">As falhas macroeconómicas </w:t>
      </w:r>
      <w:r>
        <w:rPr>
          <w:rFonts w:ascii="Times New Roman" w:eastAsia="Arial" w:hAnsi="Times New Roman" w:cs="Times New Roman"/>
          <w:i/>
          <w:iCs/>
        </w:rPr>
        <w:t>-</w:t>
      </w:r>
      <w:r w:rsidRPr="009F6435">
        <w:rPr>
          <w:rFonts w:ascii="Times New Roman" w:eastAsia="Arial" w:hAnsi="Times New Roman" w:cs="Times New Roman"/>
          <w:i/>
          <w:iCs/>
        </w:rPr>
        <w:t xml:space="preserve"> recessões, crises bancárias e cambiais, subdesenvolvimento persistente — diferem assim qualitativamente das falhas microeconómicas (externalidades, bens públicos, informação assimétrica): não decorrem apenas de um único mercado a falhar, mas de interações sistémicas entre mercados que podem gerar estados indesejáveis e persistentes ao nível agregado. Isto justifica a existência de uma política macroeconómica autónoma </w:t>
      </w:r>
      <w:r>
        <w:rPr>
          <w:rFonts w:ascii="Times New Roman" w:eastAsia="Arial" w:hAnsi="Times New Roman" w:cs="Times New Roman"/>
          <w:i/>
          <w:iCs/>
        </w:rPr>
        <w:t xml:space="preserve">- </w:t>
      </w:r>
      <w:r w:rsidRPr="009F6435">
        <w:rPr>
          <w:rFonts w:ascii="Times New Roman" w:eastAsia="Arial" w:hAnsi="Times New Roman" w:cs="Times New Roman"/>
          <w:i/>
          <w:iCs/>
        </w:rPr>
        <w:t xml:space="preserve">orçamental e monetária </w:t>
      </w:r>
      <w:r>
        <w:rPr>
          <w:rFonts w:ascii="Times New Roman" w:eastAsia="Arial" w:hAnsi="Times New Roman" w:cs="Times New Roman"/>
          <w:i/>
          <w:iCs/>
        </w:rPr>
        <w:t>-</w:t>
      </w:r>
      <w:r w:rsidRPr="009F6435">
        <w:rPr>
          <w:rFonts w:ascii="Times New Roman" w:eastAsia="Arial" w:hAnsi="Times New Roman" w:cs="Times New Roman"/>
          <w:i/>
          <w:iCs/>
        </w:rPr>
        <w:t xml:space="preserve"> como estabilizadora, para além das políticas microeconómicas de correção de falhas de mercado individuais.</w:t>
      </w:r>
    </w:p>
    <w:p w14:paraId="52DD3920" w14:textId="77777777" w:rsidR="009F6435" w:rsidRPr="009F6435" w:rsidRDefault="009F6435" w:rsidP="009F6435">
      <w:pPr>
        <w:spacing w:before="200" w:after="200" w:line="360" w:lineRule="auto"/>
        <w:rPr>
          <w:rFonts w:ascii="Times New Roman" w:eastAsia="Arial" w:hAnsi="Times New Roman" w:cs="Times New Roman"/>
        </w:rPr>
      </w:pPr>
    </w:p>
    <w:p w14:paraId="7996A5CF" w14:textId="77777777" w:rsidR="009F6435" w:rsidRDefault="00A33712" w:rsidP="00BD61F1">
      <w:pPr>
        <w:spacing w:before="200" w:after="200" w:line="360" w:lineRule="auto"/>
        <w:jc w:val="both"/>
        <w:rPr>
          <w:rFonts w:ascii="Times New Roman" w:hAnsi="Times New Roman" w:cs="Times New Roman"/>
        </w:rPr>
      </w:pPr>
      <w:r w:rsidRPr="00BD61F1">
        <w:rPr>
          <w:rFonts w:ascii="Times New Roman" w:hAnsi="Times New Roman" w:cs="Times New Roman"/>
        </w:rPr>
        <w:t xml:space="preserve">2. Tendo em conta o enquadramento orçamental da UEM definido no Pacto de Estabilidade e Crescimento e a teoria das áreas monetárias ótimas, discuta as vantagens e limitações da ausência de um orçamento federal europeu na resposta a choques económicos assimétricos. Na sua resposta, relacione esta discussão com os pressupostos e </w:t>
      </w:r>
      <w:r w:rsidRPr="00BD61F1">
        <w:rPr>
          <w:rFonts w:ascii="Times New Roman" w:hAnsi="Times New Roman" w:cs="Times New Roman"/>
        </w:rPr>
        <w:lastRenderedPageBreak/>
        <w:t>implicações da equivalência ricardiana para a sustentabilidade da dívida pública.</w:t>
      </w:r>
    </w:p>
    <w:p w14:paraId="5340E785" w14:textId="21F3A13F" w:rsidR="009F6435" w:rsidRPr="009F6435" w:rsidRDefault="009F6435" w:rsidP="009F6435">
      <w:pPr>
        <w:spacing w:before="200" w:after="200" w:line="360" w:lineRule="auto"/>
        <w:jc w:val="both"/>
        <w:rPr>
          <w:rFonts w:ascii="Times New Roman" w:hAnsi="Times New Roman" w:cs="Times New Roman"/>
          <w:i/>
          <w:iCs/>
        </w:rPr>
      </w:pPr>
      <w:r w:rsidRPr="009F6435">
        <w:rPr>
          <w:rFonts w:ascii="Times New Roman" w:hAnsi="Times New Roman" w:cs="Times New Roman"/>
          <w:i/>
          <w:iCs/>
        </w:rPr>
        <w:t xml:space="preserve">A Teoria das Áreas Monetárias Ótimas (Mundell, 1961; McKinnon, 1963; Kennen, 1969) identifica os requisitos para que um conjunto de países beneficie de uma moeda comum: mobilidade de fatores, flexibilidade de preços e salários, grau de abertura e diversificação produtiva semelhante. Na ausência de taxa de câmbio como mecanismo de ajustamento, um choque assimétrico </w:t>
      </w:r>
      <w:r>
        <w:rPr>
          <w:rFonts w:ascii="Times New Roman" w:hAnsi="Times New Roman" w:cs="Times New Roman"/>
          <w:i/>
          <w:iCs/>
        </w:rPr>
        <w:t>-</w:t>
      </w:r>
      <w:r w:rsidRPr="009F6435">
        <w:rPr>
          <w:rFonts w:ascii="Times New Roman" w:hAnsi="Times New Roman" w:cs="Times New Roman"/>
          <w:i/>
          <w:iCs/>
        </w:rPr>
        <w:t xml:space="preserve"> que afeta diferentemente os membros da união — só pode ser absorvido através destes mecanismos alternativos ou de um orçamento federal que transfira recursos dos países menos afetados para os mais afetados (estabilizadores automáticos supranacionais).</w:t>
      </w:r>
    </w:p>
    <w:p w14:paraId="7BFEA990" w14:textId="2AB51EB7" w:rsidR="009F6435" w:rsidRPr="009F6435" w:rsidRDefault="009F6435" w:rsidP="009F6435">
      <w:pPr>
        <w:spacing w:before="200" w:after="200" w:line="360" w:lineRule="auto"/>
        <w:jc w:val="both"/>
        <w:rPr>
          <w:rFonts w:ascii="Times New Roman" w:hAnsi="Times New Roman" w:cs="Times New Roman"/>
          <w:i/>
          <w:iCs/>
        </w:rPr>
      </w:pPr>
      <w:r w:rsidRPr="009F6435">
        <w:rPr>
          <w:rFonts w:ascii="Times New Roman" w:hAnsi="Times New Roman" w:cs="Times New Roman"/>
          <w:i/>
          <w:iCs/>
        </w:rPr>
        <w:t xml:space="preserve">A UEM carece precisamente deste orçamento federal de dimensão significativa </w:t>
      </w:r>
      <w:r>
        <w:rPr>
          <w:rFonts w:ascii="Times New Roman" w:hAnsi="Times New Roman" w:cs="Times New Roman"/>
          <w:i/>
          <w:iCs/>
        </w:rPr>
        <w:t>-</w:t>
      </w:r>
      <w:r w:rsidRPr="009F6435">
        <w:rPr>
          <w:rFonts w:ascii="Times New Roman" w:hAnsi="Times New Roman" w:cs="Times New Roman"/>
          <w:i/>
          <w:iCs/>
        </w:rPr>
        <w:t xml:space="preserve"> o orçamento comunitário representa apenas cerca de 1% do RNB europeu, insuficiente para cumprir funções de estabilização. O Pacto de Estabilidade e Crescimento (PEC), ao impor um limite de défice de 3% do PIB e de dívida pública de 60% do PIB, condiciona ainda a margem de manobra orçamental nacional para responder a choques. O resultado é que os países da zona euro ficam dependentes da flexibilidade dos mercados de trabalho e de produtos </w:t>
      </w:r>
      <w:r>
        <w:rPr>
          <w:rFonts w:ascii="Times New Roman" w:hAnsi="Times New Roman" w:cs="Times New Roman"/>
          <w:i/>
          <w:iCs/>
        </w:rPr>
        <w:t>-</w:t>
      </w:r>
      <w:r w:rsidRPr="009F6435">
        <w:rPr>
          <w:rFonts w:ascii="Times New Roman" w:hAnsi="Times New Roman" w:cs="Times New Roman"/>
          <w:i/>
          <w:iCs/>
        </w:rPr>
        <w:t xml:space="preserve"> frequentemente insuficiente — para absorver choques assimétricos.</w:t>
      </w:r>
    </w:p>
    <w:p w14:paraId="4D7D78C1" w14:textId="4999A3A3" w:rsidR="009F6435" w:rsidRPr="009F6435" w:rsidRDefault="009F6435" w:rsidP="009F6435">
      <w:pPr>
        <w:spacing w:before="200" w:after="200" w:line="360" w:lineRule="auto"/>
        <w:jc w:val="both"/>
        <w:rPr>
          <w:rFonts w:ascii="Times New Roman" w:hAnsi="Times New Roman" w:cs="Times New Roman"/>
          <w:i/>
          <w:iCs/>
        </w:rPr>
      </w:pPr>
      <w:r w:rsidRPr="009F6435">
        <w:rPr>
          <w:rFonts w:ascii="Times New Roman" w:hAnsi="Times New Roman" w:cs="Times New Roman"/>
          <w:i/>
          <w:iCs/>
        </w:rPr>
        <w:t xml:space="preserve">A Equivalência Ricardiana (Barro, 1974) complica adicionalmente esta discussão: se os agentes são racionais, têm horizontes infinitos (ou altruísmo intergeracional), não têm restrições de liquidez e os impostos são do tipo lump-sum, então o financiamento da despesa pública por dívida versus por impostos correntes é equivalente </w:t>
      </w:r>
      <w:r>
        <w:rPr>
          <w:rFonts w:ascii="Times New Roman" w:hAnsi="Times New Roman" w:cs="Times New Roman"/>
          <w:i/>
          <w:iCs/>
        </w:rPr>
        <w:t>-</w:t>
      </w:r>
      <w:r w:rsidRPr="009F6435">
        <w:rPr>
          <w:rFonts w:ascii="Times New Roman" w:hAnsi="Times New Roman" w:cs="Times New Roman"/>
          <w:i/>
          <w:iCs/>
        </w:rPr>
        <w:t xml:space="preserve"> os consumidores antecipariam os impostos futuros implícitos na dívida e poupam correspondentemente, anulando o efeito de procura. Se a Equivalência Ricardiana valesse plenamente, o estímulo orçamental seria ineficaz e a questão da sustentabilidade da dívida ganharia toda a centralidade: o que importaria seria a trajetória da dívida e a relação entre taxa de juro real (r) e taxa de crescimento (g) </w:t>
      </w:r>
      <w:r>
        <w:rPr>
          <w:rFonts w:ascii="Times New Roman" w:hAnsi="Times New Roman" w:cs="Times New Roman"/>
          <w:i/>
          <w:iCs/>
        </w:rPr>
        <w:t xml:space="preserve">- </w:t>
      </w:r>
      <w:r w:rsidRPr="009F6435">
        <w:rPr>
          <w:rFonts w:ascii="Times New Roman" w:hAnsi="Times New Roman" w:cs="Times New Roman"/>
          <w:i/>
          <w:iCs/>
        </w:rPr>
        <w:t>se r &gt; g, a dívida torna-se explosiva sem superávites primários. Na prática, os seus pressupostos falham (restrições de liquidez, miopia), mas a discussão sobre sustentabilidade permanece central para a arquitetura orçamental da UEM.</w:t>
      </w:r>
    </w:p>
    <w:p w14:paraId="119E610A" w14:textId="26278240" w:rsidR="00A33712" w:rsidRDefault="00A33712" w:rsidP="00BD61F1">
      <w:pPr>
        <w:spacing w:before="200" w:after="200" w:line="360" w:lineRule="auto"/>
        <w:jc w:val="both"/>
        <w:rPr>
          <w:rFonts w:ascii="Times New Roman" w:hAnsi="Times New Roman" w:cs="Times New Roman"/>
        </w:rPr>
      </w:pPr>
      <w:r w:rsidRPr="00BD61F1">
        <w:rPr>
          <w:rFonts w:ascii="Times New Roman" w:hAnsi="Times New Roman" w:cs="Times New Roman"/>
        </w:rPr>
        <w:t>3. Compare o modelo francês e o modelo alemão de Banco Central na Europa pré-euro, identificando os fatores que explicam a prevalência do modelo alemão na conceção institucional do BCE. Discuta ainda o papel desempenhado pelo BCE na Crise das Dívidas Soberanas e na pandemia de COVID-19.</w:t>
      </w:r>
    </w:p>
    <w:p w14:paraId="23AD3998" w14:textId="77777777" w:rsidR="009F6435" w:rsidRPr="009F6435" w:rsidRDefault="009F6435" w:rsidP="009F6435">
      <w:pPr>
        <w:spacing w:before="200" w:after="200" w:line="360" w:lineRule="auto"/>
        <w:jc w:val="both"/>
        <w:rPr>
          <w:rFonts w:ascii="Times New Roman" w:hAnsi="Times New Roman" w:cs="Times New Roman"/>
          <w:i/>
          <w:iCs/>
        </w:rPr>
      </w:pPr>
      <w:r w:rsidRPr="009F6435">
        <w:rPr>
          <w:rFonts w:ascii="Times New Roman" w:hAnsi="Times New Roman" w:cs="Times New Roman"/>
          <w:i/>
          <w:iCs/>
        </w:rPr>
        <w:t>Antes da criação do euro, coexistiam na Europa dois modelos de banco central. O modelo francês, predominante até à década de 1980, caracterizava-se pela subordinação do banco central ao governo: o banco central financiava os défices orçamentais, a política monetária era instrumento ativo de política económica e a independência era reduzida. O modelo alemão (Bundesbank), pelo contrário, assentava numa independência política formal, num mandato primário de estabilidade de preços e numa aversão institucional à inflação, ancorada na memória da hiperinflação dos anos 1920.</w:t>
      </w:r>
    </w:p>
    <w:p w14:paraId="47874EF0" w14:textId="77777777" w:rsidR="009F6435" w:rsidRPr="009F6435" w:rsidRDefault="009F6435" w:rsidP="009F6435">
      <w:pPr>
        <w:spacing w:before="200" w:after="200" w:line="360" w:lineRule="auto"/>
        <w:jc w:val="both"/>
        <w:rPr>
          <w:rFonts w:ascii="Times New Roman" w:hAnsi="Times New Roman" w:cs="Times New Roman"/>
          <w:i/>
          <w:iCs/>
        </w:rPr>
      </w:pPr>
      <w:r w:rsidRPr="009F6435">
        <w:rPr>
          <w:rFonts w:ascii="Times New Roman" w:hAnsi="Times New Roman" w:cs="Times New Roman"/>
          <w:i/>
          <w:iCs/>
        </w:rPr>
        <w:t xml:space="preserve">A prevalência do modelo alemão na conceção do BCE resultou de vários fatores. Primeiro, a contra-revolução monetarista das décadas de 1970 e 1980 (Friedman, Lucas) erosionou a credibilidade das políticas keynesianas ao </w:t>
      </w:r>
      <w:r w:rsidRPr="009F6435">
        <w:rPr>
          <w:rFonts w:ascii="Times New Roman" w:hAnsi="Times New Roman" w:cs="Times New Roman"/>
          <w:i/>
          <w:iCs/>
        </w:rPr>
        <w:lastRenderedPageBreak/>
        <w:t>revelar a ineficácia a longo prazo de políticas inflacionistas. Segundo, a crise do SME nos anos 1990 demonstrou a importância da credibilidade antiinflacionista. Terceiro, a Alemanha, como maior economia europeia e país com maior aversão à inflação, exigiu como condição política para aceitar a moeda comum que o BCE tivesse mandato de estabilidade de preços, independência face aos governos nacionais e proibição de monetização dos défices (artigo 123.º do TFUE).</w:t>
      </w:r>
    </w:p>
    <w:p w14:paraId="54BCA984" w14:textId="2CEC3B69" w:rsidR="009F6435" w:rsidRPr="009F6435" w:rsidRDefault="009F6435" w:rsidP="009F6435">
      <w:pPr>
        <w:spacing w:before="200" w:after="200" w:line="360" w:lineRule="auto"/>
        <w:jc w:val="both"/>
        <w:rPr>
          <w:rFonts w:ascii="Times New Roman" w:hAnsi="Times New Roman" w:cs="Times New Roman"/>
          <w:i/>
          <w:iCs/>
        </w:rPr>
      </w:pPr>
      <w:r w:rsidRPr="009F6435">
        <w:rPr>
          <w:rFonts w:ascii="Times New Roman" w:hAnsi="Times New Roman" w:cs="Times New Roman"/>
          <w:i/>
          <w:iCs/>
        </w:rPr>
        <w:t>Na Crise das Dívidas Soberanas (2010–2012), o BCE inicialmente resistiu a intervir nos mercados de dívida soberana, o que agravou os spreads dos países periféricos. Só com o "Whatever it takes" de Draghi (2012) e o programa OMT o BCE sinalizou disposição para comprar dívida soberana ilimitadamente, estabilizando os mercados sem chegar a usar o instrumento. Na pandemia de COVID-19 (2020), o BCE foi mais célere, lançando o PEPP (Pandemic Emergency Purchase Programme) com grande flexibilidade, incluindo desvios temporários das regras de capital e alargamento dos ativos elegíveis, demonstrando uma evolução pragmática face à rigidez original do mandato.</w:t>
      </w:r>
    </w:p>
    <w:p w14:paraId="03FD7BF4" w14:textId="7DAFE609" w:rsidR="00A33712" w:rsidRDefault="00A33712" w:rsidP="00BD61F1">
      <w:pPr>
        <w:spacing w:before="200" w:after="200" w:line="360" w:lineRule="auto"/>
        <w:jc w:val="both"/>
        <w:rPr>
          <w:rFonts w:ascii="Times New Roman" w:hAnsi="Times New Roman" w:cs="Times New Roman"/>
        </w:rPr>
      </w:pPr>
      <w:r w:rsidRPr="00BD61F1">
        <w:rPr>
          <w:rFonts w:ascii="Times New Roman" w:hAnsi="Times New Roman" w:cs="Times New Roman"/>
        </w:rPr>
        <w:t>4. O modelo do ‘Estado empreendedor’ de Mariana Mazzucato propõe que o sector público assuma um papel central no financiamento e orientação da inovação. Relacione esta proposta com a discussão sobre a financeirização das economias (nomeadamente as recompras de ações e o foco em métricas de curto prazo), e discuta em que medida os bancos públicos de investimento podem gerar efeitos de crowding-in ou crowding-out sobre o investimento privado.</w:t>
      </w:r>
    </w:p>
    <w:p w14:paraId="31ADD674" w14:textId="7B896F4A" w:rsidR="009F6435" w:rsidRPr="009F6435" w:rsidRDefault="009F6435" w:rsidP="009F6435">
      <w:pPr>
        <w:spacing w:before="200" w:after="200" w:line="360" w:lineRule="auto"/>
        <w:jc w:val="both"/>
        <w:rPr>
          <w:rFonts w:ascii="Times New Roman" w:hAnsi="Times New Roman" w:cs="Times New Roman"/>
          <w:i/>
          <w:iCs/>
        </w:rPr>
      </w:pPr>
      <w:r w:rsidRPr="009F6435">
        <w:rPr>
          <w:rFonts w:ascii="Times New Roman" w:hAnsi="Times New Roman" w:cs="Times New Roman"/>
          <w:i/>
          <w:iCs/>
        </w:rPr>
        <w:t xml:space="preserve">Mariana Mazzucato (2015) argumenta que o Estado não deve limitar-se a corrigir falhas de mercado de forma residual, mas assumir um papel ativo e empreendedor na criação de mercados e na orientação da inovação. A autora demonstra que tecnologias centrais à economia digital </w:t>
      </w:r>
      <w:r>
        <w:rPr>
          <w:rFonts w:ascii="Times New Roman" w:hAnsi="Times New Roman" w:cs="Times New Roman"/>
          <w:i/>
          <w:iCs/>
        </w:rPr>
        <w:t>-</w:t>
      </w:r>
      <w:r w:rsidRPr="009F6435">
        <w:rPr>
          <w:rFonts w:ascii="Times New Roman" w:hAnsi="Times New Roman" w:cs="Times New Roman"/>
          <w:i/>
          <w:iCs/>
        </w:rPr>
        <w:t xml:space="preserve"> internet, GPS, ecrã táctil, algoritmos de pesquisa </w:t>
      </w:r>
      <w:r>
        <w:rPr>
          <w:rFonts w:ascii="Times New Roman" w:hAnsi="Times New Roman" w:cs="Times New Roman"/>
          <w:i/>
          <w:iCs/>
        </w:rPr>
        <w:t>-</w:t>
      </w:r>
      <w:r w:rsidRPr="009F6435">
        <w:rPr>
          <w:rFonts w:ascii="Times New Roman" w:hAnsi="Times New Roman" w:cs="Times New Roman"/>
          <w:i/>
          <w:iCs/>
        </w:rPr>
        <w:t xml:space="preserve"> resultaram de investimento público, nomeadamente de agências como a DARPA nos EUA. O sector privado tende a subinvestir em I&amp;D de alto risco e longo prazo, pelo que o Estado deve assumir o risco de missão, definindo direções de inovação orientadas por objetivos sociais (como a transição energética).</w:t>
      </w:r>
    </w:p>
    <w:p w14:paraId="7508F7E1" w14:textId="4B079755" w:rsidR="009F6435" w:rsidRPr="009F6435" w:rsidRDefault="009F6435" w:rsidP="009F6435">
      <w:pPr>
        <w:spacing w:before="200" w:after="200" w:line="360" w:lineRule="auto"/>
        <w:jc w:val="both"/>
        <w:rPr>
          <w:rFonts w:ascii="Times New Roman" w:hAnsi="Times New Roman" w:cs="Times New Roman"/>
          <w:i/>
          <w:iCs/>
        </w:rPr>
      </w:pPr>
      <w:r w:rsidRPr="009F6435">
        <w:rPr>
          <w:rFonts w:ascii="Times New Roman" w:hAnsi="Times New Roman" w:cs="Times New Roman"/>
          <w:i/>
          <w:iCs/>
        </w:rPr>
        <w:t xml:space="preserve">Esta proposta contrasta diretamente com o fenómeno da financeirização das economias avançadas. Desde a década de 1980, a lógica do "shareholder value" levou as grandes empresas a priorizar a distribuição de valor aos acionistas </w:t>
      </w:r>
      <w:r>
        <w:rPr>
          <w:rFonts w:ascii="Times New Roman" w:hAnsi="Times New Roman" w:cs="Times New Roman"/>
          <w:i/>
          <w:iCs/>
        </w:rPr>
        <w:t>-</w:t>
      </w:r>
      <w:r w:rsidRPr="009F6435">
        <w:rPr>
          <w:rFonts w:ascii="Times New Roman" w:hAnsi="Times New Roman" w:cs="Times New Roman"/>
          <w:i/>
          <w:iCs/>
        </w:rPr>
        <w:t xml:space="preserve"> através de recompras de ações (share buybacks) e dividendos — em detrimento do reinvestimento produtivo. As recompras de ações artificialmente aumentam o earnings per share (EPS), beneficiando gestores cujas remunerações variáveis estão indexadas a essas métricas, mas desviam recursos do investimento em I&amp;D e capacidade produtiva. Mazzucato identifica este comportamento como corrosivo da capacidade inovadora das empresas.</w:t>
      </w:r>
    </w:p>
    <w:p w14:paraId="681BB0A6" w14:textId="0F165F5E" w:rsidR="009F6435" w:rsidRPr="009F6435" w:rsidRDefault="009F6435" w:rsidP="009F6435">
      <w:pPr>
        <w:spacing w:before="200" w:after="200" w:line="360" w:lineRule="auto"/>
        <w:jc w:val="both"/>
        <w:rPr>
          <w:rFonts w:ascii="Times New Roman" w:hAnsi="Times New Roman" w:cs="Times New Roman"/>
          <w:i/>
          <w:iCs/>
        </w:rPr>
      </w:pPr>
      <w:r w:rsidRPr="009F6435">
        <w:rPr>
          <w:rFonts w:ascii="Times New Roman" w:hAnsi="Times New Roman" w:cs="Times New Roman"/>
          <w:i/>
          <w:iCs/>
        </w:rPr>
        <w:t xml:space="preserve">Neste contexto, os bancos públicos de investimento (BPI) </w:t>
      </w:r>
      <w:r>
        <w:rPr>
          <w:rFonts w:ascii="Times New Roman" w:hAnsi="Times New Roman" w:cs="Times New Roman"/>
          <w:i/>
          <w:iCs/>
        </w:rPr>
        <w:t>-</w:t>
      </w:r>
      <w:r w:rsidRPr="009F6435">
        <w:rPr>
          <w:rFonts w:ascii="Times New Roman" w:hAnsi="Times New Roman" w:cs="Times New Roman"/>
          <w:i/>
          <w:iCs/>
        </w:rPr>
        <w:t xml:space="preserve"> como o KfW alemão, o BEI ou o BNDES brasileiro </w:t>
      </w:r>
      <w:r>
        <w:rPr>
          <w:rFonts w:ascii="Times New Roman" w:hAnsi="Times New Roman" w:cs="Times New Roman"/>
          <w:i/>
          <w:iCs/>
        </w:rPr>
        <w:t>-</w:t>
      </w:r>
      <w:r w:rsidRPr="009F6435">
        <w:rPr>
          <w:rFonts w:ascii="Times New Roman" w:hAnsi="Times New Roman" w:cs="Times New Roman"/>
          <w:i/>
          <w:iCs/>
        </w:rPr>
        <w:t xml:space="preserve"> surgem como instrumentos para colmatar esta lacuna. A visão neoclássica convencional argumenta que o financiamento público provoca crowding-out: ao absorver recursos financeiros escassos, eleva as taxas de juro e desloca o investimento privado. Contudo, esta visão é discutível: em economias com capacidade instalada subutilizada e taxas de juro próximas de zero (como durante a crise de 2008 ou a pandemia), os BPI tendem a gerar </w:t>
      </w:r>
      <w:r w:rsidRPr="009F6435">
        <w:rPr>
          <w:rFonts w:ascii="Times New Roman" w:hAnsi="Times New Roman" w:cs="Times New Roman"/>
          <w:i/>
          <w:iCs/>
        </w:rPr>
        <w:lastRenderedPageBreak/>
        <w:t>crowding-in, catalisando investimento privado que de outra forma não ocorreria — nomeadamente em sectores de alto risco, longa maturação ou externalidades positivas (eficiência energética, infraestruturas). A evidência empírica do KfW sugere precisamente efeitos de crowding-in predominantes.</w:t>
      </w:r>
    </w:p>
    <w:p w14:paraId="2E88DF69" w14:textId="6C008C76" w:rsidR="00A33712" w:rsidRDefault="00A33712" w:rsidP="00BD61F1">
      <w:pPr>
        <w:spacing w:before="200" w:after="200" w:line="360" w:lineRule="auto"/>
        <w:jc w:val="both"/>
        <w:rPr>
          <w:rFonts w:ascii="Times New Roman" w:hAnsi="Times New Roman" w:cs="Times New Roman"/>
        </w:rPr>
      </w:pPr>
      <w:r w:rsidRPr="00BD61F1">
        <w:rPr>
          <w:rFonts w:ascii="Times New Roman" w:hAnsi="Times New Roman" w:cs="Times New Roman"/>
        </w:rPr>
        <w:t>5. Discuta o fenómeno da segmentação do mercado de trabalho português entre um segmento primário e um segmento secundário, identificando as suas causas e consequências em termos de desigualdade e produtividade. Avalie o papel dos sindicatos na negociação coletiva e o modelo de flexi-segurança dinamarquês como possíveis respostas a este problema.</w:t>
      </w:r>
    </w:p>
    <w:p w14:paraId="5BDF7523" w14:textId="77777777" w:rsidR="00F21B2C" w:rsidRPr="00F21B2C" w:rsidRDefault="00F21B2C" w:rsidP="00F21B2C">
      <w:pPr>
        <w:pStyle w:val="font-claude-response-body"/>
        <w:spacing w:line="360" w:lineRule="auto"/>
        <w:jc w:val="both"/>
        <w:rPr>
          <w:i/>
          <w:iCs/>
          <w:sz w:val="22"/>
          <w:szCs w:val="22"/>
        </w:rPr>
      </w:pPr>
      <w:r w:rsidRPr="00F21B2C">
        <w:rPr>
          <w:i/>
          <w:iCs/>
          <w:sz w:val="22"/>
          <w:szCs w:val="22"/>
        </w:rPr>
        <w:t>O mercado de trabalho português apresenta uma segmentação acentuada entre um segmento primário e um segmento secundário. O segmento primário caracteriza-se por contratos permanentes, salários mais elevados, cobertura pela negociação coletiva, maior investimento em formação e progressão de carreira. O segmento secundário engloba trabalhadores com contratos a termo, trabalho temporário, recibos verdes e outras formas atípicas, com menor proteção, salários mais baixos e elevada rotatividade. Em Portugal, esta dualidade é particularmente marcada: o país combina uma forte proteção do emprego permanente com uma elevada incidência de contratos temporários, sobretudo entre jovens.</w:t>
      </w:r>
    </w:p>
    <w:p w14:paraId="269DA5FE" w14:textId="77777777" w:rsidR="00F21B2C" w:rsidRPr="00F21B2C" w:rsidRDefault="00F21B2C" w:rsidP="00F21B2C">
      <w:pPr>
        <w:pStyle w:val="font-claude-response-body"/>
        <w:spacing w:line="360" w:lineRule="auto"/>
        <w:jc w:val="both"/>
        <w:rPr>
          <w:i/>
          <w:iCs/>
          <w:sz w:val="22"/>
          <w:szCs w:val="22"/>
        </w:rPr>
      </w:pPr>
      <w:r w:rsidRPr="00F21B2C">
        <w:rPr>
          <w:i/>
          <w:iCs/>
          <w:sz w:val="22"/>
          <w:szCs w:val="22"/>
        </w:rPr>
        <w:t>As causas desta segmentação são estruturais. Do lado da procura, as empresas recorrem ao segmento secundário como tampão de ajustamento cíclico, evitando os custos de despedimento dos contratos permanentes. Do lado da oferta, os trabalhadores mais jovens, com menores qualificações ou em sectores de baixa produtividade têm menor poder negocial. A regulação laboral assimétrica — que protege fortemente os insiders do segmento primário — cria barreiras à transição. As consequências incluem desigualdade salarial e de condições de trabalho, subinvestimento em capital humano dos trabalhadores secundários (as empresas formam menos quem não esperam reter) e menor produtividade agregada.</w:t>
      </w:r>
    </w:p>
    <w:p w14:paraId="08F5D8CB" w14:textId="77777777" w:rsidR="00F21B2C" w:rsidRPr="00F21B2C" w:rsidRDefault="00F21B2C" w:rsidP="00F21B2C">
      <w:pPr>
        <w:pStyle w:val="font-claude-response-body"/>
        <w:spacing w:line="360" w:lineRule="auto"/>
        <w:jc w:val="both"/>
        <w:rPr>
          <w:i/>
          <w:iCs/>
          <w:sz w:val="22"/>
          <w:szCs w:val="22"/>
        </w:rPr>
      </w:pPr>
      <w:r w:rsidRPr="00F21B2C">
        <w:rPr>
          <w:i/>
          <w:iCs/>
          <w:sz w:val="22"/>
          <w:szCs w:val="22"/>
        </w:rPr>
        <w:t>Os sindicatos, ao negociarem coletivamente melhores condições para os trabalhadores do segmento primário, podem paradoxalmente reforçar a segmentação se a sua cobertura não se estender ao segmento secundário. No modelo WS-PS, maior poder sindical desloca a curva WS para cima, aumentando o desemprego estrutural de equilíbrio.</w:t>
      </w:r>
    </w:p>
    <w:p w14:paraId="5A8A9D37" w14:textId="77777777" w:rsidR="00F21B2C" w:rsidRPr="00F21B2C" w:rsidRDefault="00F21B2C" w:rsidP="00F21B2C">
      <w:pPr>
        <w:pStyle w:val="font-claude-response-body"/>
        <w:spacing w:line="360" w:lineRule="auto"/>
        <w:jc w:val="both"/>
        <w:rPr>
          <w:i/>
          <w:iCs/>
          <w:sz w:val="22"/>
          <w:szCs w:val="22"/>
        </w:rPr>
      </w:pPr>
      <w:r w:rsidRPr="00F21B2C">
        <w:rPr>
          <w:i/>
          <w:iCs/>
          <w:sz w:val="22"/>
          <w:szCs w:val="22"/>
        </w:rPr>
        <w:t>O modelo de flexi-segurança dinamarquês oferece uma resposta alternativa: combina baixa proteção do emprego (fácil contratação e despedimento), elevadas prestações de desemprego (que reduzem o custo individual da transição) e políticas ativas de emprego (requalificação intensiva). O resultado é um mercado de trabalho com elevada mobilidade mas baixo desemprego e baixa desigualdade — os trabalhadores transitam entre empregos com segurança de rendimento, o que reduz a resistência à mudança e aumenta a produtividade. A transposição deste modelo para Portugal é debatida: implicaria reduzir a proteção dos contratos permanentes (politicamente difícil) e aumentar significativamente o investimento em políticas ativas e prestações de desemprego (fiscalmente exigente).</w:t>
      </w:r>
    </w:p>
    <w:p w14:paraId="243F396C" w14:textId="77777777" w:rsidR="00F21B2C" w:rsidRPr="00BD61F1" w:rsidRDefault="00F21B2C" w:rsidP="00BD61F1">
      <w:pPr>
        <w:spacing w:before="200" w:after="200" w:line="360" w:lineRule="auto"/>
        <w:jc w:val="both"/>
        <w:rPr>
          <w:rFonts w:ascii="Times New Roman" w:hAnsi="Times New Roman" w:cs="Times New Roman"/>
        </w:rPr>
      </w:pPr>
    </w:p>
    <w:p w14:paraId="44625626" w14:textId="77777777" w:rsidR="007068E0" w:rsidRDefault="00A33712" w:rsidP="00BD61F1">
      <w:pPr>
        <w:tabs>
          <w:tab w:val="left" w:pos="608"/>
          <w:tab w:val="left" w:pos="610"/>
        </w:tabs>
        <w:spacing w:line="360" w:lineRule="auto"/>
        <w:ind w:right="297"/>
        <w:jc w:val="both"/>
        <w:rPr>
          <w:rFonts w:ascii="Times New Roman" w:hAnsi="Times New Roman" w:cs="Times New Roman"/>
        </w:rPr>
      </w:pPr>
      <w:r w:rsidRPr="00BD61F1">
        <w:rPr>
          <w:rFonts w:ascii="Times New Roman" w:hAnsi="Times New Roman" w:cs="Times New Roman"/>
        </w:rPr>
        <w:t>6. Compare os impostos sobre o carbono e os mercados de licenças de emissão (como o EU ETS) como instrumentos de política climática, discutindo a sua eficácia, eficiência e as controvérsias morais associadas ao comércio de emissões. Tendo em conta as medidas concretas adotadas em Portugal na transição energética, avalie em que medida estas políticas conseguem conciliar os objetivos de descarbonização com critérios de equidade</w:t>
      </w:r>
      <w:r w:rsidR="00326AAA" w:rsidRPr="00BD61F1">
        <w:rPr>
          <w:rFonts w:ascii="Times New Roman" w:hAnsi="Times New Roman" w:cs="Times New Roman"/>
        </w:rPr>
        <w:t>.</w:t>
      </w:r>
    </w:p>
    <w:p w14:paraId="69B99D84" w14:textId="77777777" w:rsidR="00F21B2C" w:rsidRDefault="00F21B2C" w:rsidP="00BD61F1">
      <w:pPr>
        <w:tabs>
          <w:tab w:val="left" w:pos="608"/>
          <w:tab w:val="left" w:pos="610"/>
        </w:tabs>
        <w:spacing w:line="360" w:lineRule="auto"/>
        <w:ind w:right="297"/>
        <w:jc w:val="both"/>
        <w:rPr>
          <w:rFonts w:ascii="Times New Roman" w:hAnsi="Times New Roman" w:cs="Times New Roman"/>
        </w:rPr>
      </w:pPr>
    </w:p>
    <w:p w14:paraId="42481300" w14:textId="7771BE14" w:rsidR="00F21B2C" w:rsidRPr="00F21B2C" w:rsidRDefault="00F21B2C" w:rsidP="00F21B2C">
      <w:pPr>
        <w:pStyle w:val="font-claude-response-body"/>
        <w:spacing w:line="360" w:lineRule="auto"/>
        <w:jc w:val="both"/>
        <w:rPr>
          <w:rFonts w:eastAsia="Calibri"/>
          <w:i/>
          <w:iCs/>
          <w:sz w:val="22"/>
          <w:szCs w:val="22"/>
          <w:lang w:eastAsia="en-US"/>
        </w:rPr>
      </w:pPr>
      <w:r w:rsidRPr="00F21B2C">
        <w:rPr>
          <w:rFonts w:eastAsia="Calibri"/>
          <w:i/>
          <w:iCs/>
          <w:sz w:val="22"/>
          <w:szCs w:val="22"/>
          <w:lang w:eastAsia="en-US"/>
        </w:rPr>
        <w:t xml:space="preserve">Os impostos sobre carbono e os mercados de licenças de emissão (cap-and-trade), como o EU ETS, são os dois principais instrumentos para internalizar a externalidade negativa das emissões de gases com efeito de estufa. Ambos seguem a lógica pigouiana de fazer o poluidor pagar, mas diferem no que fixam: o imposto fixa o preço das emissões, deixando a quantidade ajustar-se; o mercado de licenças fixa a quantidade total de emissões (o cap), deixando o preço flutuar conforme a oferta e a procura. Em termos de eficiência, ambos são superiores à regulação de comando-e-controlo porque permitem que as reduções ocorram onde são mais baratas </w:t>
      </w:r>
      <w:r>
        <w:rPr>
          <w:rFonts w:eastAsia="Calibri"/>
          <w:i/>
          <w:iCs/>
          <w:sz w:val="22"/>
          <w:szCs w:val="22"/>
          <w:lang w:eastAsia="en-US"/>
        </w:rPr>
        <w:t>-</w:t>
      </w:r>
      <w:r w:rsidRPr="00F21B2C">
        <w:rPr>
          <w:rFonts w:eastAsia="Calibri"/>
          <w:i/>
          <w:iCs/>
          <w:sz w:val="22"/>
          <w:szCs w:val="22"/>
          <w:lang w:eastAsia="en-US"/>
        </w:rPr>
        <w:t xml:space="preserve"> as empresas com custos de abatimento mais baixos reduzem mais e vendem licenças às que têm custos mais elevados, minimizando o custo total de atingir uma meta ambiental. O imposto oferece certeza do preço, facilitando o planeamento do investimento das empresas; o cap-and-trade oferece certeza da quantidade, garantindo o cumprimento da meta independentemente das flutuações económicas. Na prática, o EU ETS teve dificuldades iniciais com o excesso de licenças distribuídas gratuitamente, que colapsou o preço para próximo de zero na fase I, tornando o instrumento temporariamente ineficaz </w:t>
      </w:r>
      <w:r>
        <w:rPr>
          <w:rFonts w:eastAsia="Calibri"/>
          <w:i/>
          <w:iCs/>
          <w:sz w:val="22"/>
          <w:szCs w:val="22"/>
          <w:lang w:eastAsia="en-US"/>
        </w:rPr>
        <w:t>-</w:t>
      </w:r>
      <w:r w:rsidRPr="00F21B2C">
        <w:rPr>
          <w:rFonts w:eastAsia="Calibri"/>
          <w:i/>
          <w:iCs/>
          <w:sz w:val="22"/>
          <w:szCs w:val="22"/>
          <w:lang w:eastAsia="en-US"/>
        </w:rPr>
        <w:t xml:space="preserve"> problema posteriormente corrigido com a criação da Reserva de Estabilidade do Mercado em 2019.</w:t>
      </w:r>
    </w:p>
    <w:p w14:paraId="620DB599" w14:textId="53B89A34" w:rsidR="00F21B2C" w:rsidRPr="00F21B2C" w:rsidRDefault="00F21B2C" w:rsidP="00F21B2C">
      <w:pPr>
        <w:pStyle w:val="font-claude-response-body"/>
        <w:spacing w:line="360" w:lineRule="auto"/>
        <w:jc w:val="both"/>
        <w:rPr>
          <w:rFonts w:eastAsia="Calibri"/>
          <w:i/>
          <w:iCs/>
          <w:sz w:val="22"/>
          <w:szCs w:val="22"/>
          <w:lang w:eastAsia="en-US"/>
        </w:rPr>
      </w:pPr>
      <w:r w:rsidRPr="00F21B2C">
        <w:rPr>
          <w:rFonts w:eastAsia="Calibri"/>
          <w:i/>
          <w:iCs/>
          <w:sz w:val="22"/>
          <w:szCs w:val="22"/>
          <w:lang w:eastAsia="en-US"/>
        </w:rPr>
        <w:t xml:space="preserve">Do ponto de vista ético, o comércio de emissões é criticado por transformar o direito a poluir numa mercadoria transacionável, permitindo que empresas mais ricas comprem licenças em vez de efetivamente reduzirem emissões. Levanta também problemas de justiça distributiva espacial: se uma empresa compra licenças e polui mais, os efeitos locais concentram-se sobre populações específicas que não beneficiaram da transação. Portugal participa no EU ETS para os sectores industriais e de energia, e apostou fortemente nas renováveis — tornando-se um caso de referência europeu com percentagens muito elevadas de eletricidade de origem renovável. O principal desafio de equidade é o caráter regressivo destes instrumentos: o encarecimento da energia representa uma proporção maior do orçamento das famílias de menores rendimentos, particularmente nas regiões de baixa densidade sem alternativas ao transporte individual. Por isso, a devolução das receitas fiscais geradas — sob a forma de transferências para famílias vulneráveis ou reduções noutros impostos </w:t>
      </w:r>
      <w:r>
        <w:rPr>
          <w:rFonts w:eastAsia="Calibri"/>
          <w:i/>
          <w:iCs/>
          <w:sz w:val="22"/>
          <w:szCs w:val="22"/>
          <w:lang w:eastAsia="en-US"/>
        </w:rPr>
        <w:t>-</w:t>
      </w:r>
      <w:r w:rsidRPr="00F21B2C">
        <w:rPr>
          <w:rFonts w:eastAsia="Calibri"/>
          <w:i/>
          <w:iCs/>
          <w:sz w:val="22"/>
          <w:szCs w:val="22"/>
          <w:lang w:eastAsia="en-US"/>
        </w:rPr>
        <w:t xml:space="preserve"> é apontada como condição essencial para conciliar os objetivos de descarbonização com critérios de justiça social.</w:t>
      </w:r>
    </w:p>
    <w:p w14:paraId="4A2AC3FD" w14:textId="5A723073" w:rsidR="00F21B2C" w:rsidRPr="00BD61F1" w:rsidRDefault="00F21B2C" w:rsidP="00BD61F1">
      <w:pPr>
        <w:tabs>
          <w:tab w:val="left" w:pos="608"/>
          <w:tab w:val="left" w:pos="610"/>
        </w:tabs>
        <w:spacing w:line="360" w:lineRule="auto"/>
        <w:ind w:right="297"/>
        <w:jc w:val="both"/>
        <w:rPr>
          <w:rFonts w:ascii="Times New Roman" w:hAnsi="Times New Roman" w:cs="Times New Roman"/>
          <w:b/>
          <w:bCs/>
        </w:rPr>
        <w:sectPr w:rsidR="00F21B2C" w:rsidRPr="00BD61F1">
          <w:headerReference w:type="default" r:id="rId9"/>
          <w:footerReference w:type="default" r:id="rId10"/>
          <w:pgSz w:w="11910" w:h="16840"/>
          <w:pgMar w:top="2000" w:right="840" w:bottom="920" w:left="880" w:header="708" w:footer="728" w:gutter="0"/>
          <w:cols w:space="720"/>
        </w:sectPr>
      </w:pPr>
    </w:p>
    <w:p w14:paraId="46A4F037" w14:textId="1E87FE44" w:rsidR="00DB28A0" w:rsidRPr="00756DCA" w:rsidRDefault="00DB28A0" w:rsidP="00BD61F1">
      <w:pPr>
        <w:rPr>
          <w:sz w:val="20"/>
        </w:rPr>
      </w:pPr>
    </w:p>
    <w:sectPr w:rsidR="00DB28A0" w:rsidRPr="00756DCA">
      <w:pgSz w:w="11910" w:h="16840"/>
      <w:pgMar w:top="2000" w:right="840" w:bottom="920" w:left="880" w:header="708" w:footer="7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646A8" w14:textId="77777777" w:rsidR="00EF48CD" w:rsidRDefault="00EF48CD">
      <w:r>
        <w:separator/>
      </w:r>
    </w:p>
  </w:endnote>
  <w:endnote w:type="continuationSeparator" w:id="0">
    <w:p w14:paraId="20AB884D" w14:textId="77777777" w:rsidR="00EF48CD" w:rsidRDefault="00EF4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218C" w14:textId="77777777" w:rsidR="001B0211" w:rsidRDefault="00337CE3">
    <w:pPr>
      <w:pStyle w:val="BodyText"/>
      <w:spacing w:line="14" w:lineRule="auto"/>
    </w:pPr>
    <w:r>
      <w:rPr>
        <w:noProof/>
      </w:rPr>
      <mc:AlternateContent>
        <mc:Choice Requires="wps">
          <w:drawing>
            <wp:anchor distT="0" distB="0" distL="0" distR="0" simplePos="0" relativeHeight="251680768" behindDoc="1" locked="0" layoutInCell="1" allowOverlap="1" wp14:anchorId="4B89310D" wp14:editId="692B8A93">
              <wp:simplePos x="0" y="0"/>
              <wp:positionH relativeFrom="page">
                <wp:posOffset>6731254</wp:posOffset>
              </wp:positionH>
              <wp:positionV relativeFrom="page">
                <wp:posOffset>10090578</wp:posOffset>
              </wp:positionV>
              <wp:extent cx="16129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39700"/>
                      </a:xfrm>
                      <a:prstGeom prst="rect">
                        <a:avLst/>
                      </a:prstGeom>
                    </wps:spPr>
                    <wps:txbx>
                      <w:txbxContent>
                        <w:p w14:paraId="467014D9" w14:textId="77777777" w:rsidR="001B0211" w:rsidRDefault="00337CE3">
                          <w:pPr>
                            <w:spacing w:line="220" w:lineRule="exact"/>
                            <w:ind w:left="60"/>
                            <w:rPr>
                              <w:rFonts w:ascii="Lucida Sans Unicode"/>
                              <w:sz w:val="18"/>
                            </w:rPr>
                          </w:pPr>
                          <w:r>
                            <w:rPr>
                              <w:rFonts w:ascii="Lucida Sans Unicode"/>
                              <w:spacing w:val="-10"/>
                              <w:sz w:val="18"/>
                            </w:rPr>
                            <w:fldChar w:fldCharType="begin"/>
                          </w:r>
                          <w:r>
                            <w:rPr>
                              <w:rFonts w:ascii="Lucida Sans Unicode"/>
                              <w:spacing w:val="-10"/>
                              <w:sz w:val="18"/>
                            </w:rPr>
                            <w:instrText xml:space="preserve"> PAGE </w:instrText>
                          </w:r>
                          <w:r>
                            <w:rPr>
                              <w:rFonts w:ascii="Lucida Sans Unicode"/>
                              <w:spacing w:val="-10"/>
                              <w:sz w:val="18"/>
                            </w:rPr>
                            <w:fldChar w:fldCharType="separate"/>
                          </w:r>
                          <w:r>
                            <w:rPr>
                              <w:rFonts w:ascii="Lucida Sans Unicode"/>
                              <w:spacing w:val="-10"/>
                              <w:sz w:val="18"/>
                            </w:rPr>
                            <w:t>1</w:t>
                          </w:r>
                          <w:r>
                            <w:rPr>
                              <w:rFonts w:ascii="Lucida Sans Unicode"/>
                              <w:spacing w:val="-10"/>
                              <w:sz w:val="18"/>
                            </w:rPr>
                            <w:fldChar w:fldCharType="end"/>
                          </w:r>
                        </w:p>
                      </w:txbxContent>
                    </wps:txbx>
                    <wps:bodyPr wrap="square" lIns="0" tIns="0" rIns="0" bIns="0" rtlCol="0">
                      <a:noAutofit/>
                    </wps:bodyPr>
                  </wps:wsp>
                </a:graphicData>
              </a:graphic>
            </wp:anchor>
          </w:drawing>
        </mc:Choice>
        <mc:Fallback>
          <w:pict>
            <v:shapetype w14:anchorId="4B89310D" id="_x0000_t202" coordsize="21600,21600" o:spt="202" path="m,l,21600r21600,l21600,xe">
              <v:stroke joinstyle="miter"/>
              <v:path gradientshapeok="t" o:connecttype="rect"/>
            </v:shapetype>
            <v:shape id="Textbox 2" o:spid="_x0000_s1026" type="#_x0000_t202" style="position:absolute;margin-left:530pt;margin-top:794.55pt;width:12.7pt;height:11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YnLpgEAAD4DAAAOAAAAZHJzL2Uyb0RvYy54bWysUl9v0zAQf0fiO1h+p06DNFjUdBpMIKQJ&#10;kLZ9AMexG4vYZ3xuk357zm7aTfCG9uKcc+ffn7vb3MxuZAcd0YJv+XpVcaa9gt76XcufHr+8+8gZ&#10;Jul7OYLXLT9q5Dfbt282U2h0DQOMvY6MQDw2U2j5kFJohEA1aCdxBUF7ShqITia6xp3oo5wI3Y2i&#10;rqorMUHsQwSlEenv3SnJtwXfGK3SD2NQJza2nLSlcsZydvkU241sdlGGwapFhvwPFU5aT6QXqDuZ&#10;JNtH+w+UsyoCgkkrBU6AMVbp4oHcrKu/3DwMMujihZqD4dImfD1Y9f3wMzLbt7zmzEtHI3rUc+pg&#10;ZnVuzhSwoZqHQFVp/gQzDbkYxXAP6hdSiXhRc3qAVJ2bMZvo8pdsMnpI/T9eek4kTGW0q3V9TRlF&#10;qfX76w9VmYl4fhwipq8aHMtByyONtAiQh3tMmV4255JFy4k+q0pzNy8mOuiP5GGiUbccf+9l1JyN&#10;3zz1Mu/FOYjnoDsHMY2foWxPtuLhdp/A2MKcKU64CzMNqQhaFipvwct7qXpe++0fAAAA//8DAFBL&#10;AwQUAAYACAAAACEACPDqFOIAAAAPAQAADwAAAGRycy9kb3ducmV2LnhtbEyPwU7DMBBE70j8g7VI&#10;3KidikZpiFNVFZyQEGk4cHRiN7Ear0PstuHv2Z7obUY7mn1TbGY3sLOZgvUoIVkIYAZbry12Er7q&#10;t6cMWIgKtRo8Ggm/JsCmvL8rVK79BStz3seOUQmGXEnoYxxzzkPbG6fCwo8G6Xbwk1OR7NRxPakL&#10;lbuBL4VIuVMW6UOvRrPrTXvcn5yE7TdWr/bno/msDpWt67XA9/Qo5ePDvH0BFs0c/8NwxSd0KImp&#10;8SfUgQ3kRSpoTCS1ytYJsGtGZKtnYA2pNEkS4GXBb3eUfwAAAP//AwBQSwECLQAUAAYACAAAACEA&#10;toM4kv4AAADhAQAAEwAAAAAAAAAAAAAAAAAAAAAAW0NvbnRlbnRfVHlwZXNdLnhtbFBLAQItABQA&#10;BgAIAAAAIQA4/SH/1gAAAJQBAAALAAAAAAAAAAAAAAAAAC8BAABfcmVscy8ucmVsc1BLAQItABQA&#10;BgAIAAAAIQBrYYnLpgEAAD4DAAAOAAAAAAAAAAAAAAAAAC4CAABkcnMvZTJvRG9jLnhtbFBLAQIt&#10;ABQABgAIAAAAIQAI8OoU4gAAAA8BAAAPAAAAAAAAAAAAAAAAAAAEAABkcnMvZG93bnJldi54bWxQ&#10;SwUGAAAAAAQABADzAAAADwUAAAAA&#10;" filled="f" stroked="f">
              <v:textbox inset="0,0,0,0">
                <w:txbxContent>
                  <w:p w14:paraId="467014D9" w14:textId="77777777" w:rsidR="001B0211" w:rsidRDefault="00337CE3">
                    <w:pPr>
                      <w:spacing w:line="220" w:lineRule="exact"/>
                      <w:ind w:left="60"/>
                      <w:rPr>
                        <w:rFonts w:ascii="Lucida Sans Unicode"/>
                        <w:sz w:val="18"/>
                      </w:rPr>
                    </w:pPr>
                    <w:r>
                      <w:rPr>
                        <w:rFonts w:ascii="Lucida Sans Unicode"/>
                        <w:spacing w:val="-10"/>
                        <w:sz w:val="18"/>
                      </w:rPr>
                      <w:fldChar w:fldCharType="begin"/>
                    </w:r>
                    <w:r>
                      <w:rPr>
                        <w:rFonts w:ascii="Lucida Sans Unicode"/>
                        <w:spacing w:val="-10"/>
                        <w:sz w:val="18"/>
                      </w:rPr>
                      <w:instrText xml:space="preserve"> PAGE </w:instrText>
                    </w:r>
                    <w:r>
                      <w:rPr>
                        <w:rFonts w:ascii="Lucida Sans Unicode"/>
                        <w:spacing w:val="-10"/>
                        <w:sz w:val="18"/>
                      </w:rPr>
                      <w:fldChar w:fldCharType="separate"/>
                    </w:r>
                    <w:r>
                      <w:rPr>
                        <w:rFonts w:ascii="Lucida Sans Unicode"/>
                        <w:spacing w:val="-10"/>
                        <w:sz w:val="18"/>
                      </w:rPr>
                      <w:t>1</w:t>
                    </w:r>
                    <w:r>
                      <w:rPr>
                        <w:rFonts w:ascii="Lucida Sans Unicode"/>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88EBD" w14:textId="77777777" w:rsidR="00EF48CD" w:rsidRDefault="00EF48CD">
      <w:r>
        <w:separator/>
      </w:r>
    </w:p>
  </w:footnote>
  <w:footnote w:type="continuationSeparator" w:id="0">
    <w:p w14:paraId="50D9CE08" w14:textId="77777777" w:rsidR="00EF48CD" w:rsidRDefault="00EF4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F2850" w14:textId="7BBD6DE9" w:rsidR="001B0211" w:rsidRPr="00A33712" w:rsidRDefault="001B0211" w:rsidP="00BD61F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72F"/>
    <w:multiLevelType w:val="hybridMultilevel"/>
    <w:tmpl w:val="4710B15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2E0C373E"/>
    <w:multiLevelType w:val="hybridMultilevel"/>
    <w:tmpl w:val="02921E8E"/>
    <w:lvl w:ilvl="0" w:tplc="81587778">
      <w:start w:val="1"/>
      <w:numFmt w:val="lowerLetter"/>
      <w:lvlText w:val="%1)"/>
      <w:lvlJc w:val="left"/>
      <w:pPr>
        <w:ind w:left="973" w:hanging="360"/>
      </w:pPr>
      <w:rPr>
        <w:rFonts w:hint="default"/>
        <w:spacing w:val="0"/>
        <w:w w:val="99"/>
        <w:lang w:val="pt-PT" w:eastAsia="en-US" w:bidi="ar-SA"/>
      </w:rPr>
    </w:lvl>
    <w:lvl w:ilvl="1" w:tplc="D450BB02">
      <w:numFmt w:val="bullet"/>
      <w:lvlText w:val="•"/>
      <w:lvlJc w:val="left"/>
      <w:pPr>
        <w:ind w:left="1900" w:hanging="360"/>
      </w:pPr>
      <w:rPr>
        <w:rFonts w:hint="default"/>
        <w:lang w:val="pt-PT" w:eastAsia="en-US" w:bidi="ar-SA"/>
      </w:rPr>
    </w:lvl>
    <w:lvl w:ilvl="2" w:tplc="B6905552">
      <w:numFmt w:val="bullet"/>
      <w:lvlText w:val="•"/>
      <w:lvlJc w:val="left"/>
      <w:pPr>
        <w:ind w:left="2821" w:hanging="360"/>
      </w:pPr>
      <w:rPr>
        <w:rFonts w:hint="default"/>
        <w:lang w:val="pt-PT" w:eastAsia="en-US" w:bidi="ar-SA"/>
      </w:rPr>
    </w:lvl>
    <w:lvl w:ilvl="3" w:tplc="98FA2FD4">
      <w:numFmt w:val="bullet"/>
      <w:lvlText w:val="•"/>
      <w:lvlJc w:val="left"/>
      <w:pPr>
        <w:ind w:left="3741" w:hanging="360"/>
      </w:pPr>
      <w:rPr>
        <w:rFonts w:hint="default"/>
        <w:lang w:val="pt-PT" w:eastAsia="en-US" w:bidi="ar-SA"/>
      </w:rPr>
    </w:lvl>
    <w:lvl w:ilvl="4" w:tplc="3EA223D0">
      <w:numFmt w:val="bullet"/>
      <w:lvlText w:val="•"/>
      <w:lvlJc w:val="left"/>
      <w:pPr>
        <w:ind w:left="4662" w:hanging="360"/>
      </w:pPr>
      <w:rPr>
        <w:rFonts w:hint="default"/>
        <w:lang w:val="pt-PT" w:eastAsia="en-US" w:bidi="ar-SA"/>
      </w:rPr>
    </w:lvl>
    <w:lvl w:ilvl="5" w:tplc="576426D6">
      <w:numFmt w:val="bullet"/>
      <w:lvlText w:val="•"/>
      <w:lvlJc w:val="left"/>
      <w:pPr>
        <w:ind w:left="5583" w:hanging="360"/>
      </w:pPr>
      <w:rPr>
        <w:rFonts w:hint="default"/>
        <w:lang w:val="pt-PT" w:eastAsia="en-US" w:bidi="ar-SA"/>
      </w:rPr>
    </w:lvl>
    <w:lvl w:ilvl="6" w:tplc="4C548338">
      <w:numFmt w:val="bullet"/>
      <w:lvlText w:val="•"/>
      <w:lvlJc w:val="left"/>
      <w:pPr>
        <w:ind w:left="6503" w:hanging="360"/>
      </w:pPr>
      <w:rPr>
        <w:rFonts w:hint="default"/>
        <w:lang w:val="pt-PT" w:eastAsia="en-US" w:bidi="ar-SA"/>
      </w:rPr>
    </w:lvl>
    <w:lvl w:ilvl="7" w:tplc="6EAA0394">
      <w:numFmt w:val="bullet"/>
      <w:lvlText w:val="•"/>
      <w:lvlJc w:val="left"/>
      <w:pPr>
        <w:ind w:left="7424" w:hanging="360"/>
      </w:pPr>
      <w:rPr>
        <w:rFonts w:hint="default"/>
        <w:lang w:val="pt-PT" w:eastAsia="en-US" w:bidi="ar-SA"/>
      </w:rPr>
    </w:lvl>
    <w:lvl w:ilvl="8" w:tplc="8C88BA84">
      <w:numFmt w:val="bullet"/>
      <w:lvlText w:val="•"/>
      <w:lvlJc w:val="left"/>
      <w:pPr>
        <w:ind w:left="8345" w:hanging="360"/>
      </w:pPr>
      <w:rPr>
        <w:rFonts w:hint="default"/>
        <w:lang w:val="pt-PT" w:eastAsia="en-US" w:bidi="ar-SA"/>
      </w:rPr>
    </w:lvl>
  </w:abstractNum>
  <w:abstractNum w:abstractNumId="2" w15:restartNumberingAfterBreak="0">
    <w:nsid w:val="32FF109C"/>
    <w:multiLevelType w:val="hybridMultilevel"/>
    <w:tmpl w:val="C6D221F6"/>
    <w:lvl w:ilvl="0" w:tplc="573C1FC2">
      <w:numFmt w:val="bullet"/>
      <w:lvlText w:val="-"/>
      <w:lvlJc w:val="left"/>
      <w:pPr>
        <w:ind w:left="138" w:hanging="76"/>
      </w:pPr>
      <w:rPr>
        <w:rFonts w:ascii="Arial" w:eastAsia="Arial" w:hAnsi="Arial" w:cs="Arial" w:hint="default"/>
        <w:b w:val="0"/>
        <w:bCs w:val="0"/>
        <w:i w:val="0"/>
        <w:iCs w:val="0"/>
        <w:spacing w:val="0"/>
        <w:w w:val="100"/>
        <w:sz w:val="12"/>
        <w:szCs w:val="12"/>
        <w:lang w:val="pt-PT" w:eastAsia="en-US" w:bidi="ar-SA"/>
      </w:rPr>
    </w:lvl>
    <w:lvl w:ilvl="1" w:tplc="9D16EE3C">
      <w:numFmt w:val="bullet"/>
      <w:lvlText w:val="•"/>
      <w:lvlJc w:val="left"/>
      <w:pPr>
        <w:ind w:left="530" w:hanging="76"/>
      </w:pPr>
      <w:rPr>
        <w:rFonts w:hint="default"/>
        <w:lang w:val="pt-PT" w:eastAsia="en-US" w:bidi="ar-SA"/>
      </w:rPr>
    </w:lvl>
    <w:lvl w:ilvl="2" w:tplc="2A8EF662">
      <w:numFmt w:val="bullet"/>
      <w:lvlText w:val="•"/>
      <w:lvlJc w:val="left"/>
      <w:pPr>
        <w:ind w:left="921" w:hanging="76"/>
      </w:pPr>
      <w:rPr>
        <w:rFonts w:hint="default"/>
        <w:lang w:val="pt-PT" w:eastAsia="en-US" w:bidi="ar-SA"/>
      </w:rPr>
    </w:lvl>
    <w:lvl w:ilvl="3" w:tplc="C57CCF3A">
      <w:numFmt w:val="bullet"/>
      <w:lvlText w:val="•"/>
      <w:lvlJc w:val="left"/>
      <w:pPr>
        <w:ind w:left="1312" w:hanging="76"/>
      </w:pPr>
      <w:rPr>
        <w:rFonts w:hint="default"/>
        <w:lang w:val="pt-PT" w:eastAsia="en-US" w:bidi="ar-SA"/>
      </w:rPr>
    </w:lvl>
    <w:lvl w:ilvl="4" w:tplc="6066B53A">
      <w:numFmt w:val="bullet"/>
      <w:lvlText w:val="•"/>
      <w:lvlJc w:val="left"/>
      <w:pPr>
        <w:ind w:left="1703" w:hanging="76"/>
      </w:pPr>
      <w:rPr>
        <w:rFonts w:hint="default"/>
        <w:lang w:val="pt-PT" w:eastAsia="en-US" w:bidi="ar-SA"/>
      </w:rPr>
    </w:lvl>
    <w:lvl w:ilvl="5" w:tplc="0E2E6C78">
      <w:numFmt w:val="bullet"/>
      <w:lvlText w:val="•"/>
      <w:lvlJc w:val="left"/>
      <w:pPr>
        <w:ind w:left="2093" w:hanging="76"/>
      </w:pPr>
      <w:rPr>
        <w:rFonts w:hint="default"/>
        <w:lang w:val="pt-PT" w:eastAsia="en-US" w:bidi="ar-SA"/>
      </w:rPr>
    </w:lvl>
    <w:lvl w:ilvl="6" w:tplc="D35616BC">
      <w:numFmt w:val="bullet"/>
      <w:lvlText w:val="•"/>
      <w:lvlJc w:val="left"/>
      <w:pPr>
        <w:ind w:left="2484" w:hanging="76"/>
      </w:pPr>
      <w:rPr>
        <w:rFonts w:hint="default"/>
        <w:lang w:val="pt-PT" w:eastAsia="en-US" w:bidi="ar-SA"/>
      </w:rPr>
    </w:lvl>
    <w:lvl w:ilvl="7" w:tplc="8E12BA6A">
      <w:numFmt w:val="bullet"/>
      <w:lvlText w:val="•"/>
      <w:lvlJc w:val="left"/>
      <w:pPr>
        <w:ind w:left="2875" w:hanging="76"/>
      </w:pPr>
      <w:rPr>
        <w:rFonts w:hint="default"/>
        <w:lang w:val="pt-PT" w:eastAsia="en-US" w:bidi="ar-SA"/>
      </w:rPr>
    </w:lvl>
    <w:lvl w:ilvl="8" w:tplc="F55EB41E">
      <w:numFmt w:val="bullet"/>
      <w:lvlText w:val="•"/>
      <w:lvlJc w:val="left"/>
      <w:pPr>
        <w:ind w:left="3266" w:hanging="76"/>
      </w:pPr>
      <w:rPr>
        <w:rFonts w:hint="default"/>
        <w:lang w:val="pt-PT" w:eastAsia="en-US" w:bidi="ar-SA"/>
      </w:rPr>
    </w:lvl>
  </w:abstractNum>
  <w:abstractNum w:abstractNumId="3" w15:restartNumberingAfterBreak="0">
    <w:nsid w:val="686079C0"/>
    <w:multiLevelType w:val="hybridMultilevel"/>
    <w:tmpl w:val="04AA547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6B206E08"/>
    <w:multiLevelType w:val="hybridMultilevel"/>
    <w:tmpl w:val="F96401C2"/>
    <w:lvl w:ilvl="0" w:tplc="F2381898">
      <w:start w:val="1"/>
      <w:numFmt w:val="decimal"/>
      <w:lvlText w:val="%1."/>
      <w:lvlJc w:val="left"/>
      <w:pPr>
        <w:ind w:left="610" w:hanging="359"/>
      </w:pPr>
      <w:rPr>
        <w:rFonts w:ascii="Calibri" w:eastAsia="Calibri" w:hAnsi="Calibri" w:cs="Calibri" w:hint="default"/>
        <w:b w:val="0"/>
        <w:bCs w:val="0"/>
        <w:i w:val="0"/>
        <w:iCs w:val="0"/>
        <w:spacing w:val="-1"/>
        <w:w w:val="99"/>
        <w:sz w:val="20"/>
        <w:szCs w:val="20"/>
        <w:lang w:val="pt-PT" w:eastAsia="en-US" w:bidi="ar-SA"/>
      </w:rPr>
    </w:lvl>
    <w:lvl w:ilvl="1" w:tplc="F0161E66">
      <w:start w:val="1"/>
      <w:numFmt w:val="lowerLetter"/>
      <w:lvlText w:val="%2)"/>
      <w:lvlJc w:val="left"/>
      <w:pPr>
        <w:ind w:left="1105" w:hanging="284"/>
      </w:pPr>
      <w:rPr>
        <w:rFonts w:ascii="Calibri" w:eastAsia="Calibri" w:hAnsi="Calibri" w:cs="Calibri" w:hint="default"/>
        <w:b w:val="0"/>
        <w:bCs w:val="0"/>
        <w:i w:val="0"/>
        <w:iCs w:val="0"/>
        <w:spacing w:val="0"/>
        <w:w w:val="99"/>
        <w:sz w:val="20"/>
        <w:szCs w:val="20"/>
        <w:lang w:val="pt-PT" w:eastAsia="en-US" w:bidi="ar-SA"/>
      </w:rPr>
    </w:lvl>
    <w:lvl w:ilvl="2" w:tplc="778A86EE">
      <w:numFmt w:val="bullet"/>
      <w:lvlText w:val="•"/>
      <w:lvlJc w:val="left"/>
      <w:pPr>
        <w:ind w:left="1100" w:hanging="284"/>
      </w:pPr>
      <w:rPr>
        <w:rFonts w:hint="default"/>
        <w:lang w:val="pt-PT" w:eastAsia="en-US" w:bidi="ar-SA"/>
      </w:rPr>
    </w:lvl>
    <w:lvl w:ilvl="3" w:tplc="02A4CFAE">
      <w:numFmt w:val="bullet"/>
      <w:lvlText w:val="•"/>
      <w:lvlJc w:val="left"/>
      <w:pPr>
        <w:ind w:left="2235" w:hanging="284"/>
      </w:pPr>
      <w:rPr>
        <w:rFonts w:hint="default"/>
        <w:lang w:val="pt-PT" w:eastAsia="en-US" w:bidi="ar-SA"/>
      </w:rPr>
    </w:lvl>
    <w:lvl w:ilvl="4" w:tplc="E12AC396">
      <w:numFmt w:val="bullet"/>
      <w:lvlText w:val="•"/>
      <w:lvlJc w:val="left"/>
      <w:pPr>
        <w:ind w:left="3371" w:hanging="284"/>
      </w:pPr>
      <w:rPr>
        <w:rFonts w:hint="default"/>
        <w:lang w:val="pt-PT" w:eastAsia="en-US" w:bidi="ar-SA"/>
      </w:rPr>
    </w:lvl>
    <w:lvl w:ilvl="5" w:tplc="C3F89F48">
      <w:numFmt w:val="bullet"/>
      <w:lvlText w:val="•"/>
      <w:lvlJc w:val="left"/>
      <w:pPr>
        <w:ind w:left="4507" w:hanging="284"/>
      </w:pPr>
      <w:rPr>
        <w:rFonts w:hint="default"/>
        <w:lang w:val="pt-PT" w:eastAsia="en-US" w:bidi="ar-SA"/>
      </w:rPr>
    </w:lvl>
    <w:lvl w:ilvl="6" w:tplc="FF0E61F6">
      <w:numFmt w:val="bullet"/>
      <w:lvlText w:val="•"/>
      <w:lvlJc w:val="left"/>
      <w:pPr>
        <w:ind w:left="5643" w:hanging="284"/>
      </w:pPr>
      <w:rPr>
        <w:rFonts w:hint="default"/>
        <w:lang w:val="pt-PT" w:eastAsia="en-US" w:bidi="ar-SA"/>
      </w:rPr>
    </w:lvl>
    <w:lvl w:ilvl="7" w:tplc="A356B4BC">
      <w:numFmt w:val="bullet"/>
      <w:lvlText w:val="•"/>
      <w:lvlJc w:val="left"/>
      <w:pPr>
        <w:ind w:left="6779" w:hanging="284"/>
      </w:pPr>
      <w:rPr>
        <w:rFonts w:hint="default"/>
        <w:lang w:val="pt-PT" w:eastAsia="en-US" w:bidi="ar-SA"/>
      </w:rPr>
    </w:lvl>
    <w:lvl w:ilvl="8" w:tplc="242875CE">
      <w:numFmt w:val="bullet"/>
      <w:lvlText w:val="•"/>
      <w:lvlJc w:val="left"/>
      <w:pPr>
        <w:ind w:left="7914" w:hanging="284"/>
      </w:pPr>
      <w:rPr>
        <w:rFonts w:hint="default"/>
        <w:lang w:val="pt-PT" w:eastAsia="en-US" w:bidi="ar-SA"/>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211"/>
    <w:rsid w:val="001B0211"/>
    <w:rsid w:val="001D5147"/>
    <w:rsid w:val="0030086C"/>
    <w:rsid w:val="00326AAA"/>
    <w:rsid w:val="00337CE3"/>
    <w:rsid w:val="004153CC"/>
    <w:rsid w:val="004245F0"/>
    <w:rsid w:val="004E54CD"/>
    <w:rsid w:val="005046C5"/>
    <w:rsid w:val="00506AF0"/>
    <w:rsid w:val="0066413B"/>
    <w:rsid w:val="007068E0"/>
    <w:rsid w:val="00756DCA"/>
    <w:rsid w:val="00997484"/>
    <w:rsid w:val="009F6435"/>
    <w:rsid w:val="00A33712"/>
    <w:rsid w:val="00AE2E8A"/>
    <w:rsid w:val="00B5710F"/>
    <w:rsid w:val="00BA4AFC"/>
    <w:rsid w:val="00BD61F1"/>
    <w:rsid w:val="00C42DDA"/>
    <w:rsid w:val="00C82B20"/>
    <w:rsid w:val="00D1221B"/>
    <w:rsid w:val="00DB28A0"/>
    <w:rsid w:val="00E10EA9"/>
    <w:rsid w:val="00EF155E"/>
    <w:rsid w:val="00EF48CD"/>
    <w:rsid w:val="00F21B2C"/>
    <w:rsid w:val="00F3481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A9A08"/>
  <w15:docId w15:val="{569E1BA7-AF55-4D24-8143-841C380E3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Heading1">
    <w:name w:val="heading 1"/>
    <w:basedOn w:val="Normal"/>
    <w:uiPriority w:val="9"/>
    <w:qFormat/>
    <w:pPr>
      <w:spacing w:before="41"/>
      <w:ind w:left="25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41"/>
      <w:ind w:left="5" w:right="44"/>
      <w:jc w:val="center"/>
    </w:pPr>
    <w:rPr>
      <w:b/>
      <w:bCs/>
      <w:sz w:val="28"/>
      <w:szCs w:val="28"/>
    </w:rPr>
  </w:style>
  <w:style w:type="paragraph" w:styleId="ListParagraph">
    <w:name w:val="List Paragraph"/>
    <w:basedOn w:val="Normal"/>
    <w:uiPriority w:val="1"/>
    <w:qFormat/>
    <w:pPr>
      <w:ind w:left="973" w:hanging="36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10EA9"/>
    <w:rPr>
      <w:sz w:val="16"/>
      <w:szCs w:val="16"/>
    </w:rPr>
  </w:style>
  <w:style w:type="paragraph" w:styleId="CommentText">
    <w:name w:val="annotation text"/>
    <w:basedOn w:val="Normal"/>
    <w:link w:val="CommentTextChar"/>
    <w:uiPriority w:val="99"/>
    <w:semiHidden/>
    <w:unhideWhenUsed/>
    <w:rsid w:val="00E10EA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semiHidden/>
    <w:rsid w:val="00E10EA9"/>
    <w:rPr>
      <w:kern w:val="2"/>
      <w:sz w:val="20"/>
      <w:szCs w:val="20"/>
      <w:lang w:val="pt-PT"/>
      <w14:ligatures w14:val="standardContextual"/>
    </w:rPr>
  </w:style>
  <w:style w:type="character" w:styleId="Strong">
    <w:name w:val="Strong"/>
    <w:basedOn w:val="DefaultParagraphFont"/>
    <w:uiPriority w:val="22"/>
    <w:qFormat/>
    <w:rsid w:val="00E10EA9"/>
    <w:rPr>
      <w:b/>
      <w:bCs/>
    </w:rPr>
  </w:style>
  <w:style w:type="paragraph" w:styleId="NormalWeb">
    <w:name w:val="Normal (Web)"/>
    <w:basedOn w:val="Normal"/>
    <w:uiPriority w:val="99"/>
    <w:unhideWhenUsed/>
    <w:rsid w:val="00E10EA9"/>
    <w:pPr>
      <w:widowControl/>
      <w:autoSpaceDE/>
      <w:autoSpaceDN/>
      <w:spacing w:before="100" w:beforeAutospacing="1" w:after="100" w:afterAutospacing="1"/>
    </w:pPr>
    <w:rPr>
      <w:rFonts w:ascii="Times New Roman" w:eastAsia="Times New Roman" w:hAnsi="Times New Roman" w:cs="Times New Roman"/>
      <w:sz w:val="24"/>
      <w:szCs w:val="24"/>
      <w:lang w:eastAsia="pt-PT"/>
    </w:rPr>
  </w:style>
  <w:style w:type="paragraph" w:styleId="Header">
    <w:name w:val="header"/>
    <w:basedOn w:val="Normal"/>
    <w:link w:val="HeaderChar"/>
    <w:uiPriority w:val="99"/>
    <w:unhideWhenUsed/>
    <w:rsid w:val="0030086C"/>
    <w:pPr>
      <w:tabs>
        <w:tab w:val="center" w:pos="4252"/>
        <w:tab w:val="right" w:pos="8504"/>
      </w:tabs>
    </w:pPr>
  </w:style>
  <w:style w:type="character" w:customStyle="1" w:styleId="HeaderChar">
    <w:name w:val="Header Char"/>
    <w:basedOn w:val="DefaultParagraphFont"/>
    <w:link w:val="Header"/>
    <w:uiPriority w:val="99"/>
    <w:rsid w:val="0030086C"/>
    <w:rPr>
      <w:rFonts w:ascii="Calibri" w:eastAsia="Calibri" w:hAnsi="Calibri" w:cs="Calibri"/>
      <w:lang w:val="pt-PT"/>
    </w:rPr>
  </w:style>
  <w:style w:type="paragraph" w:styleId="Footer">
    <w:name w:val="footer"/>
    <w:basedOn w:val="Normal"/>
    <w:link w:val="FooterChar"/>
    <w:uiPriority w:val="99"/>
    <w:unhideWhenUsed/>
    <w:rsid w:val="0030086C"/>
    <w:pPr>
      <w:tabs>
        <w:tab w:val="center" w:pos="4252"/>
        <w:tab w:val="right" w:pos="8504"/>
      </w:tabs>
    </w:pPr>
  </w:style>
  <w:style w:type="character" w:customStyle="1" w:styleId="FooterChar">
    <w:name w:val="Footer Char"/>
    <w:basedOn w:val="DefaultParagraphFont"/>
    <w:link w:val="Footer"/>
    <w:uiPriority w:val="99"/>
    <w:rsid w:val="0030086C"/>
    <w:rPr>
      <w:rFonts w:ascii="Calibri" w:eastAsia="Calibri" w:hAnsi="Calibri" w:cs="Calibri"/>
      <w:lang w:val="pt-PT"/>
    </w:rPr>
  </w:style>
  <w:style w:type="paragraph" w:customStyle="1" w:styleId="font-claude-response-body">
    <w:name w:val="font-claude-response-body"/>
    <w:basedOn w:val="Normal"/>
    <w:rsid w:val="00F21B2C"/>
    <w:pPr>
      <w:widowControl/>
      <w:autoSpaceDE/>
      <w:autoSpaceDN/>
      <w:spacing w:before="100" w:beforeAutospacing="1" w:after="100" w:afterAutospacing="1"/>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59141">
      <w:bodyDiv w:val="1"/>
      <w:marLeft w:val="0"/>
      <w:marRight w:val="0"/>
      <w:marTop w:val="0"/>
      <w:marBottom w:val="0"/>
      <w:divBdr>
        <w:top w:val="none" w:sz="0" w:space="0" w:color="auto"/>
        <w:left w:val="none" w:sz="0" w:space="0" w:color="auto"/>
        <w:bottom w:val="none" w:sz="0" w:space="0" w:color="auto"/>
        <w:right w:val="none" w:sz="0" w:space="0" w:color="auto"/>
      </w:divBdr>
    </w:div>
    <w:div w:id="252904279">
      <w:bodyDiv w:val="1"/>
      <w:marLeft w:val="0"/>
      <w:marRight w:val="0"/>
      <w:marTop w:val="0"/>
      <w:marBottom w:val="0"/>
      <w:divBdr>
        <w:top w:val="none" w:sz="0" w:space="0" w:color="auto"/>
        <w:left w:val="none" w:sz="0" w:space="0" w:color="auto"/>
        <w:bottom w:val="none" w:sz="0" w:space="0" w:color="auto"/>
        <w:right w:val="none" w:sz="0" w:space="0" w:color="auto"/>
      </w:divBdr>
    </w:div>
    <w:div w:id="413935978">
      <w:bodyDiv w:val="1"/>
      <w:marLeft w:val="0"/>
      <w:marRight w:val="0"/>
      <w:marTop w:val="0"/>
      <w:marBottom w:val="0"/>
      <w:divBdr>
        <w:top w:val="none" w:sz="0" w:space="0" w:color="auto"/>
        <w:left w:val="none" w:sz="0" w:space="0" w:color="auto"/>
        <w:bottom w:val="none" w:sz="0" w:space="0" w:color="auto"/>
        <w:right w:val="none" w:sz="0" w:space="0" w:color="auto"/>
      </w:divBdr>
    </w:div>
    <w:div w:id="456685625">
      <w:bodyDiv w:val="1"/>
      <w:marLeft w:val="0"/>
      <w:marRight w:val="0"/>
      <w:marTop w:val="0"/>
      <w:marBottom w:val="0"/>
      <w:divBdr>
        <w:top w:val="none" w:sz="0" w:space="0" w:color="auto"/>
        <w:left w:val="none" w:sz="0" w:space="0" w:color="auto"/>
        <w:bottom w:val="none" w:sz="0" w:space="0" w:color="auto"/>
        <w:right w:val="none" w:sz="0" w:space="0" w:color="auto"/>
      </w:divBdr>
    </w:div>
    <w:div w:id="1005135805">
      <w:bodyDiv w:val="1"/>
      <w:marLeft w:val="0"/>
      <w:marRight w:val="0"/>
      <w:marTop w:val="0"/>
      <w:marBottom w:val="0"/>
      <w:divBdr>
        <w:top w:val="none" w:sz="0" w:space="0" w:color="auto"/>
        <w:left w:val="none" w:sz="0" w:space="0" w:color="auto"/>
        <w:bottom w:val="none" w:sz="0" w:space="0" w:color="auto"/>
        <w:right w:val="none" w:sz="0" w:space="0" w:color="auto"/>
      </w:divBdr>
    </w:div>
    <w:div w:id="1278440366">
      <w:bodyDiv w:val="1"/>
      <w:marLeft w:val="0"/>
      <w:marRight w:val="0"/>
      <w:marTop w:val="0"/>
      <w:marBottom w:val="0"/>
      <w:divBdr>
        <w:top w:val="none" w:sz="0" w:space="0" w:color="auto"/>
        <w:left w:val="none" w:sz="0" w:space="0" w:color="auto"/>
        <w:bottom w:val="none" w:sz="0" w:space="0" w:color="auto"/>
        <w:right w:val="none" w:sz="0" w:space="0" w:color="auto"/>
      </w:divBdr>
    </w:div>
    <w:div w:id="1326859720">
      <w:bodyDiv w:val="1"/>
      <w:marLeft w:val="0"/>
      <w:marRight w:val="0"/>
      <w:marTop w:val="0"/>
      <w:marBottom w:val="0"/>
      <w:divBdr>
        <w:top w:val="none" w:sz="0" w:space="0" w:color="auto"/>
        <w:left w:val="none" w:sz="0" w:space="0" w:color="auto"/>
        <w:bottom w:val="none" w:sz="0" w:space="0" w:color="auto"/>
        <w:right w:val="none" w:sz="0" w:space="0" w:color="auto"/>
      </w:divBdr>
      <w:divsChild>
        <w:div w:id="9841979">
          <w:marLeft w:val="0"/>
          <w:marRight w:val="0"/>
          <w:marTop w:val="0"/>
          <w:marBottom w:val="0"/>
          <w:divBdr>
            <w:top w:val="none" w:sz="0" w:space="0" w:color="auto"/>
            <w:left w:val="none" w:sz="0" w:space="0" w:color="auto"/>
            <w:bottom w:val="none" w:sz="0" w:space="0" w:color="auto"/>
            <w:right w:val="none" w:sz="0" w:space="0" w:color="auto"/>
          </w:divBdr>
          <w:divsChild>
            <w:div w:id="1787315295">
              <w:marLeft w:val="0"/>
              <w:marRight w:val="0"/>
              <w:marTop w:val="0"/>
              <w:marBottom w:val="0"/>
              <w:divBdr>
                <w:top w:val="none" w:sz="0" w:space="0" w:color="auto"/>
                <w:left w:val="none" w:sz="0" w:space="0" w:color="auto"/>
                <w:bottom w:val="none" w:sz="0" w:space="0" w:color="auto"/>
                <w:right w:val="none" w:sz="0" w:space="0" w:color="auto"/>
              </w:divBdr>
              <w:divsChild>
                <w:div w:id="1313288195">
                  <w:marLeft w:val="0"/>
                  <w:marRight w:val="0"/>
                  <w:marTop w:val="0"/>
                  <w:marBottom w:val="0"/>
                  <w:divBdr>
                    <w:top w:val="none" w:sz="0" w:space="0" w:color="auto"/>
                    <w:left w:val="none" w:sz="0" w:space="0" w:color="auto"/>
                    <w:bottom w:val="none" w:sz="0" w:space="0" w:color="auto"/>
                    <w:right w:val="none" w:sz="0" w:space="0" w:color="auto"/>
                  </w:divBdr>
                  <w:divsChild>
                    <w:div w:id="337587932">
                      <w:marLeft w:val="0"/>
                      <w:marRight w:val="0"/>
                      <w:marTop w:val="0"/>
                      <w:marBottom w:val="0"/>
                      <w:divBdr>
                        <w:top w:val="none" w:sz="0" w:space="0" w:color="auto"/>
                        <w:left w:val="none" w:sz="0" w:space="0" w:color="auto"/>
                        <w:bottom w:val="none" w:sz="0" w:space="0" w:color="auto"/>
                        <w:right w:val="none" w:sz="0" w:space="0" w:color="auto"/>
                      </w:divBdr>
                      <w:divsChild>
                        <w:div w:id="1724595678">
                          <w:marLeft w:val="0"/>
                          <w:marRight w:val="0"/>
                          <w:marTop w:val="0"/>
                          <w:marBottom w:val="0"/>
                          <w:divBdr>
                            <w:top w:val="none" w:sz="0" w:space="0" w:color="auto"/>
                            <w:left w:val="none" w:sz="0" w:space="0" w:color="auto"/>
                            <w:bottom w:val="none" w:sz="0" w:space="0" w:color="auto"/>
                            <w:right w:val="none" w:sz="0" w:space="0" w:color="auto"/>
                          </w:divBdr>
                          <w:divsChild>
                            <w:div w:id="1555847694">
                              <w:marLeft w:val="0"/>
                              <w:marRight w:val="0"/>
                              <w:marTop w:val="0"/>
                              <w:marBottom w:val="0"/>
                              <w:divBdr>
                                <w:top w:val="none" w:sz="0" w:space="0" w:color="auto"/>
                                <w:left w:val="none" w:sz="0" w:space="0" w:color="auto"/>
                                <w:bottom w:val="none" w:sz="0" w:space="0" w:color="auto"/>
                                <w:right w:val="none" w:sz="0" w:space="0" w:color="auto"/>
                              </w:divBdr>
                              <w:divsChild>
                                <w:div w:id="815999628">
                                  <w:marLeft w:val="0"/>
                                  <w:marRight w:val="0"/>
                                  <w:marTop w:val="0"/>
                                  <w:marBottom w:val="0"/>
                                  <w:divBdr>
                                    <w:top w:val="none" w:sz="0" w:space="0" w:color="auto"/>
                                    <w:left w:val="none" w:sz="0" w:space="0" w:color="auto"/>
                                    <w:bottom w:val="none" w:sz="0" w:space="0" w:color="auto"/>
                                    <w:right w:val="none" w:sz="0" w:space="0" w:color="auto"/>
                                  </w:divBdr>
                                  <w:divsChild>
                                    <w:div w:id="2100516161">
                                      <w:marLeft w:val="0"/>
                                      <w:marRight w:val="0"/>
                                      <w:marTop w:val="0"/>
                                      <w:marBottom w:val="0"/>
                                      <w:divBdr>
                                        <w:top w:val="none" w:sz="0" w:space="0" w:color="auto"/>
                                        <w:left w:val="none" w:sz="0" w:space="0" w:color="auto"/>
                                        <w:bottom w:val="none" w:sz="0" w:space="0" w:color="auto"/>
                                        <w:right w:val="none" w:sz="0" w:space="0" w:color="auto"/>
                                      </w:divBdr>
                                      <w:divsChild>
                                        <w:div w:id="1691562488">
                                          <w:marLeft w:val="0"/>
                                          <w:marRight w:val="0"/>
                                          <w:marTop w:val="0"/>
                                          <w:marBottom w:val="0"/>
                                          <w:divBdr>
                                            <w:top w:val="none" w:sz="0" w:space="0" w:color="auto"/>
                                            <w:left w:val="none" w:sz="0" w:space="0" w:color="auto"/>
                                            <w:bottom w:val="none" w:sz="0" w:space="0" w:color="auto"/>
                                            <w:right w:val="none" w:sz="0" w:space="0" w:color="auto"/>
                                          </w:divBdr>
                                          <w:divsChild>
                                            <w:div w:id="739670050">
                                              <w:marLeft w:val="0"/>
                                              <w:marRight w:val="0"/>
                                              <w:marTop w:val="0"/>
                                              <w:marBottom w:val="0"/>
                                              <w:divBdr>
                                                <w:top w:val="none" w:sz="0" w:space="0" w:color="auto"/>
                                                <w:left w:val="none" w:sz="0" w:space="0" w:color="auto"/>
                                                <w:bottom w:val="none" w:sz="0" w:space="0" w:color="auto"/>
                                                <w:right w:val="none" w:sz="0" w:space="0" w:color="auto"/>
                                              </w:divBdr>
                                              <w:divsChild>
                                                <w:div w:id="1914268193">
                                                  <w:marLeft w:val="0"/>
                                                  <w:marRight w:val="0"/>
                                                  <w:marTop w:val="0"/>
                                                  <w:marBottom w:val="0"/>
                                                  <w:divBdr>
                                                    <w:top w:val="none" w:sz="0" w:space="0" w:color="auto"/>
                                                    <w:left w:val="none" w:sz="0" w:space="0" w:color="auto"/>
                                                    <w:bottom w:val="none" w:sz="0" w:space="0" w:color="auto"/>
                                                    <w:right w:val="none" w:sz="0" w:space="0" w:color="auto"/>
                                                  </w:divBdr>
                                                  <w:divsChild>
                                                    <w:div w:id="1290630912">
                                                      <w:marLeft w:val="0"/>
                                                      <w:marRight w:val="0"/>
                                                      <w:marTop w:val="0"/>
                                                      <w:marBottom w:val="0"/>
                                                      <w:divBdr>
                                                        <w:top w:val="none" w:sz="0" w:space="0" w:color="auto"/>
                                                        <w:left w:val="none" w:sz="0" w:space="0" w:color="auto"/>
                                                        <w:bottom w:val="none" w:sz="0" w:space="0" w:color="auto"/>
                                                        <w:right w:val="none" w:sz="0" w:space="0" w:color="auto"/>
                                                      </w:divBdr>
                                                      <w:divsChild>
                                                        <w:div w:id="526254772">
                                                          <w:marLeft w:val="0"/>
                                                          <w:marRight w:val="0"/>
                                                          <w:marTop w:val="0"/>
                                                          <w:marBottom w:val="0"/>
                                                          <w:divBdr>
                                                            <w:top w:val="none" w:sz="0" w:space="0" w:color="auto"/>
                                                            <w:left w:val="none" w:sz="0" w:space="0" w:color="auto"/>
                                                            <w:bottom w:val="none" w:sz="0" w:space="0" w:color="auto"/>
                                                            <w:right w:val="none" w:sz="0" w:space="0" w:color="auto"/>
                                                          </w:divBdr>
                                                          <w:divsChild>
                                                            <w:div w:id="8274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03696367">
      <w:bodyDiv w:val="1"/>
      <w:marLeft w:val="0"/>
      <w:marRight w:val="0"/>
      <w:marTop w:val="0"/>
      <w:marBottom w:val="0"/>
      <w:divBdr>
        <w:top w:val="none" w:sz="0" w:space="0" w:color="auto"/>
        <w:left w:val="none" w:sz="0" w:space="0" w:color="auto"/>
        <w:bottom w:val="none" w:sz="0" w:space="0" w:color="auto"/>
        <w:right w:val="none" w:sz="0" w:space="0" w:color="auto"/>
      </w:divBdr>
    </w:div>
    <w:div w:id="2088839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2F7DC-3DE8-4A5C-977E-9A5913918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9</Pages>
  <Words>3302</Words>
  <Characters>17833</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Exame de Época Especial de Política Económica 20/21</vt:lpstr>
    </vt:vector>
  </TitlesOfParts>
  <Company/>
  <LinksUpToDate>false</LinksUpToDate>
  <CharactersWithSpaces>21093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Exame de Época Especial de Política Económica 20/21</dc:title>
  <dc:creator>Ricardo Cabral</dc:creator>
  <cp:lastModifiedBy>João Alcobia</cp:lastModifiedBy>
  <cp:revision>10</cp:revision>
  <dcterms:created xsi:type="dcterms:W3CDTF">2025-12-18T01:26:00Z</dcterms:created>
  <dcterms:modified xsi:type="dcterms:W3CDTF">2026-07-06T16:43:00Z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2025-01-07T00:00:00Z</vt:filetime>
  </property>
  <property fmtid="{D5CDD505-2E9C-101B-9397-08002B2CF9AE}" pid="3" name="Creator">
    <vt:lpwstr>Microsoft® Word para Microsoft 365</vt:lpwstr>
  </property>
  <property fmtid="{D5CDD505-2E9C-101B-9397-08002B2CF9AE}" pid="4" name="LastSaved">
    <vt:filetime>2025-12-17T00:00:00Z</vt:filetime>
  </property>
  <property fmtid="{D5CDD505-2E9C-101B-9397-08002B2CF9AE}" pid="5" name="Producer">
    <vt:lpwstr>Microsoft® Word para Microsoft 365</vt:lpwstr>
  </property>
</Properties>
</file>